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16C0" w14:textId="77777777" w:rsidR="00484A79" w:rsidRDefault="00484A79" w:rsidP="00484A79">
      <w:pPr>
        <w:pStyle w:val="Brdtekst"/>
      </w:pPr>
      <w:bookmarkStart w:id="0" w:name="_GoBack"/>
      <w:bookmarkEnd w:id="0"/>
      <w:r w:rsidRPr="006D7A26">
        <w:rPr>
          <w:rFonts w:ascii="Arial" w:eastAsia="MS Mincho" w:hAnsi="Arial" w:cs="Arial"/>
          <w:noProof/>
          <w:sz w:val="20"/>
          <w:lang w:eastAsia="nb-NO"/>
        </w:rPr>
        <w:drawing>
          <wp:anchor distT="0" distB="0" distL="114300" distR="114300" simplePos="0" relativeHeight="251660288" behindDoc="1" locked="0" layoutInCell="1" allowOverlap="1" wp14:anchorId="06DD353F" wp14:editId="6F507073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815340" cy="950595"/>
            <wp:effectExtent l="0" t="0" r="3810" b="1905"/>
            <wp:wrapSquare wrapText="bothSides"/>
            <wp:docPr id="2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e 28" descr="Bilderesultat for vikna kommune logo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8FB9EA" w14:textId="77777777" w:rsidR="00484A79" w:rsidRDefault="00484A79" w:rsidP="00484A79">
      <w:pPr>
        <w:pStyle w:val="Brdtekst"/>
      </w:pPr>
    </w:p>
    <w:p w14:paraId="46DC0AA4" w14:textId="77777777" w:rsidR="00484A79" w:rsidRPr="00CB0837" w:rsidRDefault="00484A79" w:rsidP="00484A79">
      <w:pPr>
        <w:pStyle w:val="Brdtekst"/>
        <w:rPr>
          <w:sz w:val="36"/>
        </w:rPr>
      </w:pPr>
      <w:r w:rsidRPr="00D604AE">
        <w:tab/>
      </w:r>
      <w:r>
        <w:rPr>
          <w:sz w:val="36"/>
        </w:rPr>
        <w:t>NÆRØYSUND</w:t>
      </w:r>
    </w:p>
    <w:p w14:paraId="02911E1B" w14:textId="77777777" w:rsidR="00484A79" w:rsidRPr="00CB0837" w:rsidRDefault="00484A79" w:rsidP="00484A79">
      <w:pPr>
        <w:pStyle w:val="Brdtekst"/>
        <w:rPr>
          <w:sz w:val="20"/>
          <w:szCs w:val="22"/>
        </w:rPr>
      </w:pPr>
      <w:r>
        <w:tab/>
      </w:r>
      <w:r>
        <w:rPr>
          <w:sz w:val="36"/>
        </w:rPr>
        <w:t>KOMMUNE</w:t>
      </w:r>
      <w:r>
        <w:rPr>
          <w:sz w:val="36"/>
        </w:rPr>
        <w:tab/>
      </w:r>
      <w:r w:rsidRPr="00D604AE">
        <w:tab/>
      </w:r>
      <w:r w:rsidRPr="00D604AE">
        <w:tab/>
      </w:r>
      <w:r w:rsidRPr="00D604AE">
        <w:tab/>
      </w:r>
      <w:r w:rsidRPr="00D604AE">
        <w:tab/>
      </w:r>
      <w:r w:rsidRPr="00D604AE">
        <w:tab/>
      </w:r>
      <w:r w:rsidRPr="00D604AE">
        <w:tab/>
      </w:r>
    </w:p>
    <w:p w14:paraId="143CB433" w14:textId="77777777" w:rsidR="00484A79" w:rsidRPr="00CB0837" w:rsidRDefault="00484A79" w:rsidP="00484A79">
      <w:pPr>
        <w:pStyle w:val="Brdtekst"/>
      </w:pPr>
    </w:p>
    <w:p w14:paraId="77D9B974" w14:textId="77777777" w:rsidR="00484A79" w:rsidRDefault="00484A79" w:rsidP="00484A79">
      <w:pPr>
        <w:pStyle w:val="Brdtekst"/>
        <w:rPr>
          <w:rFonts w:eastAsiaTheme="majorEastAsia"/>
          <w:b/>
          <w:sz w:val="36"/>
          <w:szCs w:val="36"/>
        </w:rPr>
      </w:pPr>
    </w:p>
    <w:p w14:paraId="76AC9F6F" w14:textId="77777777" w:rsidR="00484A79" w:rsidRPr="001401FD" w:rsidRDefault="00484A79" w:rsidP="00484A79">
      <w:pPr>
        <w:keepNext/>
        <w:keepLines/>
        <w:pBdr>
          <w:bottom w:val="single" w:sz="4" w:space="1" w:color="4472C4" w:themeColor="accent1"/>
        </w:pBdr>
        <w:tabs>
          <w:tab w:val="left" w:pos="6987"/>
        </w:tabs>
        <w:spacing w:before="120" w:after="40"/>
        <w:outlineLvl w:val="0"/>
        <w:rPr>
          <w:rFonts w:eastAsiaTheme="majorEastAsia" w:cs="Times New Roman"/>
          <w:b/>
          <w:sz w:val="36"/>
          <w:szCs w:val="36"/>
        </w:rPr>
      </w:pPr>
      <w:r w:rsidRPr="001401FD">
        <w:rPr>
          <w:rFonts w:eastAsiaTheme="majorEastAsia" w:cs="Times New Roman"/>
          <w:b/>
          <w:sz w:val="36"/>
          <w:szCs w:val="36"/>
        </w:rPr>
        <w:t>Kråkøya, del av sone 7, detaljregulering</w:t>
      </w:r>
    </w:p>
    <w:p w14:paraId="576D4EBF" w14:textId="77777777" w:rsidR="00484A79" w:rsidRPr="001401FD" w:rsidRDefault="00484A79" w:rsidP="00B86559">
      <w:pPr>
        <w:keepNext/>
        <w:keepLines/>
        <w:pBdr>
          <w:bottom w:val="single" w:sz="4" w:space="1" w:color="4472C4" w:themeColor="accent1"/>
        </w:pBdr>
        <w:tabs>
          <w:tab w:val="left" w:pos="5265"/>
        </w:tabs>
        <w:spacing w:before="120" w:after="40"/>
        <w:outlineLvl w:val="0"/>
        <w:rPr>
          <w:rFonts w:eastAsiaTheme="majorEastAsia" w:cs="Times New Roman"/>
          <w:b/>
          <w:sz w:val="36"/>
          <w:szCs w:val="36"/>
        </w:rPr>
      </w:pPr>
      <w:r w:rsidRPr="001401FD">
        <w:rPr>
          <w:rFonts w:eastAsiaTheme="majorEastAsia" w:cs="Times New Roman"/>
          <w:b/>
          <w:sz w:val="36"/>
          <w:szCs w:val="36"/>
        </w:rPr>
        <w:t>REGULERINGSBESTEMMELSER</w:t>
      </w:r>
      <w:r w:rsidR="00B86559" w:rsidRPr="001401FD">
        <w:rPr>
          <w:rFonts w:eastAsiaTheme="majorEastAsia" w:cs="Times New Roman"/>
          <w:b/>
          <w:sz w:val="36"/>
          <w:szCs w:val="36"/>
        </w:rPr>
        <w:tab/>
      </w:r>
    </w:p>
    <w:p w14:paraId="1772E51C" w14:textId="03696636" w:rsidR="00484A79" w:rsidRPr="001401FD" w:rsidRDefault="00484A79" w:rsidP="00484A79">
      <w:pPr>
        <w:spacing w:after="120" w:line="264" w:lineRule="auto"/>
        <w:rPr>
          <w:rFonts w:eastAsiaTheme="majorEastAsia" w:cs="Times New Roman"/>
          <w:sz w:val="24"/>
          <w:szCs w:val="28"/>
        </w:rPr>
      </w:pPr>
      <w:r w:rsidRPr="001401FD">
        <w:rPr>
          <w:rFonts w:eastAsiaTheme="majorEastAsia" w:cs="Times New Roman"/>
          <w:sz w:val="24"/>
          <w:szCs w:val="28"/>
        </w:rPr>
        <w:t xml:space="preserve">Kommunens arkivsaksnummer: </w:t>
      </w:r>
      <w:r w:rsidR="005227A0" w:rsidRPr="001401FD">
        <w:rPr>
          <w:rFonts w:eastAsiaTheme="majorEastAsia" w:cs="Times New Roman"/>
          <w:sz w:val="24"/>
          <w:szCs w:val="28"/>
        </w:rPr>
        <w:t xml:space="preserve">2019/1150 og </w:t>
      </w:r>
      <w:r w:rsidRPr="001401FD">
        <w:rPr>
          <w:rFonts w:eastAsiaTheme="majorEastAsia" w:cs="Times New Roman"/>
          <w:sz w:val="24"/>
          <w:szCs w:val="28"/>
        </w:rPr>
        <w:t>2</w:t>
      </w:r>
      <w:r w:rsidR="005227A0" w:rsidRPr="001401FD">
        <w:rPr>
          <w:rFonts w:eastAsiaTheme="majorEastAsia" w:cs="Times New Roman"/>
          <w:sz w:val="24"/>
          <w:szCs w:val="28"/>
        </w:rPr>
        <w:t>020/93</w:t>
      </w:r>
      <w:r w:rsidR="00A05698">
        <w:rPr>
          <w:rFonts w:eastAsiaTheme="majorEastAsia" w:cs="Times New Roman"/>
          <w:sz w:val="24"/>
          <w:szCs w:val="28"/>
        </w:rPr>
        <w:tab/>
      </w:r>
      <w:r w:rsidR="00A05698">
        <w:rPr>
          <w:rFonts w:eastAsiaTheme="majorEastAsia" w:cs="Times New Roman"/>
          <w:sz w:val="24"/>
          <w:szCs w:val="28"/>
        </w:rPr>
        <w:tab/>
      </w:r>
      <w:r w:rsidR="00A05698">
        <w:rPr>
          <w:rFonts w:eastAsiaTheme="majorEastAsia" w:cs="Times New Roman"/>
          <w:sz w:val="24"/>
          <w:szCs w:val="28"/>
        </w:rPr>
        <w:tab/>
      </w:r>
      <w:proofErr w:type="spellStart"/>
      <w:r w:rsidR="00A05698">
        <w:rPr>
          <w:rFonts w:eastAsiaTheme="majorEastAsia" w:cs="Times New Roman"/>
          <w:sz w:val="24"/>
          <w:szCs w:val="28"/>
        </w:rPr>
        <w:t>PlanID</w:t>
      </w:r>
      <w:proofErr w:type="spellEnd"/>
      <w:r w:rsidR="00A05698">
        <w:rPr>
          <w:rFonts w:eastAsiaTheme="majorEastAsia" w:cs="Times New Roman"/>
          <w:sz w:val="24"/>
          <w:szCs w:val="28"/>
        </w:rPr>
        <w:t>: 201904</w:t>
      </w:r>
    </w:p>
    <w:p w14:paraId="2DCC0FFB" w14:textId="57959417" w:rsidR="00484A79" w:rsidRPr="001401FD" w:rsidRDefault="00484A79" w:rsidP="00484A79">
      <w:pPr>
        <w:tabs>
          <w:tab w:val="left" w:pos="680"/>
        </w:tabs>
        <w:spacing w:before="30" w:after="30"/>
        <w:rPr>
          <w:rFonts w:eastAsia="Arial" w:cs="Arial"/>
          <w:szCs w:val="20"/>
        </w:rPr>
      </w:pPr>
      <w:r w:rsidRPr="001401FD">
        <w:rPr>
          <w:rFonts w:eastAsia="Arial" w:cs="Arial"/>
          <w:szCs w:val="20"/>
        </w:rPr>
        <w:t xml:space="preserve">Planforslag er datert: </w:t>
      </w:r>
      <w:r w:rsidR="007307D7">
        <w:rPr>
          <w:rFonts w:eastAsia="Arial" w:cs="Arial"/>
          <w:szCs w:val="20"/>
        </w:rPr>
        <w:t>24</w:t>
      </w:r>
      <w:r w:rsidR="005227A0" w:rsidRPr="001401FD">
        <w:rPr>
          <w:rFonts w:eastAsia="Arial" w:cs="Arial"/>
          <w:szCs w:val="20"/>
        </w:rPr>
        <w:t>.06.2020</w:t>
      </w:r>
      <w:r w:rsidR="00FB7389" w:rsidRPr="001401FD">
        <w:rPr>
          <w:rFonts w:eastAsia="Arial" w:cs="Arial"/>
          <w:szCs w:val="20"/>
        </w:rPr>
        <w:t xml:space="preserve"> </w:t>
      </w:r>
    </w:p>
    <w:p w14:paraId="088DDB7E" w14:textId="6D7B9473" w:rsidR="00484A79" w:rsidRPr="001401FD" w:rsidRDefault="00484A79" w:rsidP="00484A79">
      <w:pPr>
        <w:tabs>
          <w:tab w:val="left" w:pos="680"/>
        </w:tabs>
        <w:spacing w:before="30" w:after="30"/>
        <w:rPr>
          <w:rFonts w:eastAsia="Arial" w:cs="Arial"/>
          <w:szCs w:val="20"/>
        </w:rPr>
      </w:pPr>
      <w:r w:rsidRPr="001401FD">
        <w:rPr>
          <w:rFonts w:eastAsia="Arial" w:cs="Arial"/>
          <w:szCs w:val="20"/>
        </w:rPr>
        <w:t xml:space="preserve">Dato for siste revisjon av plankartet: </w:t>
      </w:r>
      <w:r w:rsidR="007307D7">
        <w:rPr>
          <w:rFonts w:eastAsia="Arial" w:cs="Arial"/>
          <w:szCs w:val="20"/>
        </w:rPr>
        <w:t>24</w:t>
      </w:r>
      <w:r w:rsidR="00B86559" w:rsidRPr="001401FD">
        <w:rPr>
          <w:rFonts w:eastAsia="Arial" w:cs="Arial"/>
          <w:szCs w:val="20"/>
        </w:rPr>
        <w:t xml:space="preserve">.06.2020 </w:t>
      </w:r>
    </w:p>
    <w:p w14:paraId="452A12F1" w14:textId="7F47F8B1" w:rsidR="00484A79" w:rsidRPr="001401FD" w:rsidRDefault="00484A79" w:rsidP="00484A79">
      <w:pPr>
        <w:tabs>
          <w:tab w:val="left" w:pos="680"/>
        </w:tabs>
        <w:spacing w:before="30" w:after="30"/>
        <w:rPr>
          <w:rFonts w:eastAsia="Arial" w:cs="Arial"/>
          <w:szCs w:val="20"/>
        </w:rPr>
      </w:pPr>
      <w:r w:rsidRPr="001401FD">
        <w:rPr>
          <w:rFonts w:eastAsia="Arial" w:cs="Arial"/>
          <w:szCs w:val="20"/>
        </w:rPr>
        <w:t xml:space="preserve">Dato for siste revisjon av bestemmelsene: </w:t>
      </w:r>
      <w:r w:rsidR="00645935">
        <w:rPr>
          <w:rFonts w:eastAsia="Arial" w:cs="Arial"/>
          <w:szCs w:val="20"/>
        </w:rPr>
        <w:t>24</w:t>
      </w:r>
      <w:r w:rsidR="003F436B" w:rsidRPr="001401FD">
        <w:rPr>
          <w:rFonts w:eastAsia="Arial" w:cs="Arial"/>
          <w:szCs w:val="20"/>
        </w:rPr>
        <w:t>.06.2020</w:t>
      </w:r>
    </w:p>
    <w:p w14:paraId="7A257ACB" w14:textId="77777777" w:rsidR="00484A79" w:rsidRPr="001401FD" w:rsidRDefault="00484A79" w:rsidP="00484A79">
      <w:pPr>
        <w:tabs>
          <w:tab w:val="left" w:pos="680"/>
        </w:tabs>
        <w:spacing w:before="30" w:after="30"/>
        <w:rPr>
          <w:rFonts w:eastAsia="Arial" w:cs="Arial"/>
          <w:szCs w:val="20"/>
        </w:rPr>
      </w:pPr>
      <w:r w:rsidRPr="001401FD">
        <w:rPr>
          <w:rFonts w:eastAsia="Arial" w:cs="Arial"/>
          <w:szCs w:val="20"/>
        </w:rPr>
        <w:t xml:space="preserve">Dato for godkjennelse: </w:t>
      </w:r>
      <w:proofErr w:type="spellStart"/>
      <w:r w:rsidR="00FB7389" w:rsidRPr="001401FD">
        <w:rPr>
          <w:rFonts w:eastAsia="Arial" w:cs="Arial"/>
          <w:szCs w:val="20"/>
        </w:rPr>
        <w:t>xx.</w:t>
      </w:r>
      <w:proofErr w:type="gramStart"/>
      <w:r w:rsidR="00FB7389" w:rsidRPr="001401FD">
        <w:rPr>
          <w:rFonts w:eastAsia="Arial" w:cs="Arial"/>
          <w:szCs w:val="20"/>
        </w:rPr>
        <w:t>xx.xxxx</w:t>
      </w:r>
      <w:proofErr w:type="spellEnd"/>
      <w:proofErr w:type="gramEnd"/>
    </w:p>
    <w:p w14:paraId="0AE4B662" w14:textId="77777777" w:rsidR="00484A79" w:rsidRPr="001401FD" w:rsidRDefault="00484A79" w:rsidP="00484A79">
      <w:pPr>
        <w:spacing w:after="120" w:line="264" w:lineRule="auto"/>
        <w:rPr>
          <w:rFonts w:eastAsiaTheme="minorEastAsia" w:cs="Times New Roman"/>
          <w:sz w:val="21"/>
          <w:szCs w:val="21"/>
        </w:rPr>
      </w:pPr>
    </w:p>
    <w:p w14:paraId="0335922A" w14:textId="77777777" w:rsidR="00484A79" w:rsidRPr="001401FD" w:rsidRDefault="00484A79" w:rsidP="00484A79">
      <w:pPr>
        <w:pStyle w:val="Overskrift1"/>
        <w:ind w:left="0" w:firstLine="0"/>
      </w:pPr>
      <w:r w:rsidRPr="001401FD">
        <w:t>1. Planens hensikt</w:t>
      </w:r>
    </w:p>
    <w:p w14:paraId="421BEF71" w14:textId="23D45DB7" w:rsidR="003F436B" w:rsidRPr="001401FD" w:rsidRDefault="009B39A3" w:rsidP="009B39A3">
      <w:pPr>
        <w:pStyle w:val="Brdtekst"/>
      </w:pPr>
      <w:r w:rsidRPr="001401FD">
        <w:t>Hensikten med planen er å detaljregulere deler av sone 7 i områdereguleringsplanen for Kråkøya til fiskeriformål. Området reguleres med adkomst til områder for lager/servicebygg og kaia til den enkelte eiendom. Kaiene skal bygges og eies/driftes i privat regi.</w:t>
      </w:r>
    </w:p>
    <w:p w14:paraId="251C0B46" w14:textId="77777777" w:rsidR="003F436B" w:rsidRPr="001401FD" w:rsidRDefault="003F436B" w:rsidP="009B39A3">
      <w:pPr>
        <w:pStyle w:val="Brdtekst"/>
      </w:pPr>
    </w:p>
    <w:p w14:paraId="43C4F8A7" w14:textId="77777777" w:rsidR="00484A79" w:rsidRPr="001401FD" w:rsidRDefault="00484A79" w:rsidP="00484A79">
      <w:pPr>
        <w:pStyle w:val="Overskrift1"/>
        <w:ind w:left="0" w:firstLine="0"/>
      </w:pPr>
      <w:r w:rsidRPr="001401FD">
        <w:t>2. Fellesbestemmelser for hele planområdet</w:t>
      </w:r>
    </w:p>
    <w:p w14:paraId="7683E639" w14:textId="77777777" w:rsidR="00484A79" w:rsidRPr="001401FD" w:rsidRDefault="00484A79" w:rsidP="00484A79">
      <w:pPr>
        <w:pStyle w:val="Overskrift2"/>
        <w:ind w:left="0" w:firstLine="0"/>
      </w:pPr>
      <w:r w:rsidRPr="001401FD">
        <w:t>2.1 Planområdets arealformål</w:t>
      </w:r>
    </w:p>
    <w:p w14:paraId="3D240474" w14:textId="77777777" w:rsidR="00484A79" w:rsidRPr="001401FD" w:rsidRDefault="00484A79" w:rsidP="00484A79">
      <w:pPr>
        <w:rPr>
          <w:rFonts w:cs="Arial"/>
          <w:szCs w:val="20"/>
        </w:rPr>
      </w:pPr>
      <w:r w:rsidRPr="001401FD">
        <w:rPr>
          <w:rFonts w:cs="Arial"/>
          <w:szCs w:val="20"/>
        </w:rPr>
        <w:t>Området reguleres til følgende formål, jf. plan- og bygningsloven § 12-5:</w:t>
      </w:r>
    </w:p>
    <w:p w14:paraId="29CBB7C6" w14:textId="77777777" w:rsidR="00484A79" w:rsidRPr="001401FD" w:rsidRDefault="00484A79" w:rsidP="00484A79">
      <w:pPr>
        <w:pStyle w:val="Brdtekst"/>
      </w:pPr>
    </w:p>
    <w:p w14:paraId="0755F469" w14:textId="77777777" w:rsidR="00484A79" w:rsidRPr="001401FD" w:rsidRDefault="00484A79" w:rsidP="00484A79">
      <w:r w:rsidRPr="001401FD">
        <w:t>1 Bebyggelse og anlegg</w:t>
      </w:r>
    </w:p>
    <w:p w14:paraId="078E0C95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>Energianlegg (1511)</w:t>
      </w:r>
    </w:p>
    <w:p w14:paraId="6F855896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 xml:space="preserve">Forretning / kontor / industri </w:t>
      </w:r>
      <w:r w:rsidRPr="001401FD">
        <w:rPr>
          <w:spacing w:val="-4"/>
          <w:sz w:val="24"/>
        </w:rPr>
        <w:t>(</w:t>
      </w:r>
      <w:r w:rsidRPr="001401FD">
        <w:rPr>
          <w:sz w:val="24"/>
        </w:rPr>
        <w:t>1811)</w:t>
      </w:r>
    </w:p>
    <w:p w14:paraId="69A475FD" w14:textId="77777777" w:rsidR="00484A79" w:rsidRPr="001401FD" w:rsidRDefault="00484A79" w:rsidP="00484A79">
      <w:pPr>
        <w:pStyle w:val="Brdtekst"/>
        <w:spacing w:before="12"/>
        <w:rPr>
          <w:sz w:val="23"/>
        </w:rPr>
      </w:pPr>
    </w:p>
    <w:p w14:paraId="654F62B8" w14:textId="77777777" w:rsidR="00484A79" w:rsidRPr="001401FD" w:rsidRDefault="00484A79" w:rsidP="00484A79">
      <w:r w:rsidRPr="001401FD">
        <w:t>2 Samferdselsanlegg og teknisk infrastruktur</w:t>
      </w:r>
    </w:p>
    <w:p w14:paraId="318B17B1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>Veg (2010)</w:t>
      </w:r>
    </w:p>
    <w:p w14:paraId="4018BBE4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>Kjøreveg</w:t>
      </w:r>
      <w:r w:rsidRPr="001401FD">
        <w:rPr>
          <w:spacing w:val="-3"/>
          <w:sz w:val="24"/>
        </w:rPr>
        <w:t xml:space="preserve"> (</w:t>
      </w:r>
      <w:r w:rsidRPr="001401FD">
        <w:rPr>
          <w:sz w:val="24"/>
        </w:rPr>
        <w:t>2011)</w:t>
      </w:r>
    </w:p>
    <w:p w14:paraId="0FECE476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>Gang-/sykkelveg (2015)</w:t>
      </w:r>
    </w:p>
    <w:p w14:paraId="0E05330D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>Annen veggrunn- tekniske anlegg (2018)</w:t>
      </w:r>
    </w:p>
    <w:p w14:paraId="78842554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 xml:space="preserve">Annen veggrunn- grøntareal </w:t>
      </w:r>
      <w:r w:rsidRPr="001401FD">
        <w:rPr>
          <w:spacing w:val="4"/>
          <w:sz w:val="24"/>
        </w:rPr>
        <w:t>(</w:t>
      </w:r>
      <w:r w:rsidRPr="001401FD">
        <w:rPr>
          <w:sz w:val="24"/>
        </w:rPr>
        <w:t>2019)</w:t>
      </w:r>
    </w:p>
    <w:p w14:paraId="0098FCC8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 xml:space="preserve">Kai </w:t>
      </w:r>
      <w:r w:rsidRPr="001401FD">
        <w:rPr>
          <w:spacing w:val="-2"/>
          <w:sz w:val="24"/>
        </w:rPr>
        <w:t>(</w:t>
      </w:r>
      <w:r w:rsidRPr="001401FD">
        <w:rPr>
          <w:sz w:val="24"/>
        </w:rPr>
        <w:t>2041)</w:t>
      </w:r>
    </w:p>
    <w:p w14:paraId="0826427A" w14:textId="77777777" w:rsidR="00484A79" w:rsidRPr="001401FD" w:rsidRDefault="00484A79" w:rsidP="00484A79">
      <w:pPr>
        <w:pStyle w:val="Brdtekst"/>
        <w:spacing w:before="11"/>
        <w:rPr>
          <w:sz w:val="23"/>
        </w:rPr>
      </w:pPr>
    </w:p>
    <w:p w14:paraId="3ED0F02E" w14:textId="77777777" w:rsidR="00484A79" w:rsidRPr="001401FD" w:rsidRDefault="00484A79" w:rsidP="00484A79">
      <w:r w:rsidRPr="001401FD">
        <w:t>3 Hensynssoner</w:t>
      </w:r>
    </w:p>
    <w:p w14:paraId="709AD9FB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>Høyspenningsanlegg (inkl. høyspentkabler) (370)</w:t>
      </w:r>
    </w:p>
    <w:p w14:paraId="7FA95C6E" w14:textId="77777777" w:rsidR="00484A79" w:rsidRPr="001401FD" w:rsidRDefault="00484A79" w:rsidP="00484A7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 w:rsidRPr="001401FD">
        <w:rPr>
          <w:sz w:val="24"/>
        </w:rPr>
        <w:t>Frisikt (140)</w:t>
      </w:r>
    </w:p>
    <w:p w14:paraId="1F4BD7AE" w14:textId="77777777" w:rsidR="00484A79" w:rsidRPr="001401FD" w:rsidRDefault="00484A79" w:rsidP="00B86559"/>
    <w:p w14:paraId="3B9E0175" w14:textId="77777777" w:rsidR="00484A79" w:rsidRPr="001401FD" w:rsidRDefault="00484A79" w:rsidP="00484A79">
      <w:pPr>
        <w:pStyle w:val="Brdtekst"/>
        <w:spacing w:before="7"/>
        <w:rPr>
          <w:b/>
          <w:sz w:val="19"/>
        </w:rPr>
      </w:pPr>
    </w:p>
    <w:p w14:paraId="37AAB7C7" w14:textId="77777777" w:rsidR="00484A79" w:rsidRPr="001401FD" w:rsidRDefault="00484A79" w:rsidP="00484A79">
      <w:pPr>
        <w:pStyle w:val="Overskrift2"/>
        <w:ind w:left="0" w:firstLine="0"/>
      </w:pPr>
      <w:r w:rsidRPr="001401FD">
        <w:t>2.2 Lyssetting</w:t>
      </w:r>
    </w:p>
    <w:p w14:paraId="2B5911B4" w14:textId="4BC972B2" w:rsidR="00484A79" w:rsidRPr="001401FD" w:rsidRDefault="00484A79" w:rsidP="00484A79">
      <w:pPr>
        <w:pStyle w:val="Brdtekst"/>
        <w:spacing w:before="59"/>
        <w:ind w:right="139"/>
      </w:pPr>
      <w:r w:rsidRPr="001401FD">
        <w:t xml:space="preserve">Lyssetting av området skal være i tråd med de restriksjoner som gjelder i forhold til </w:t>
      </w:r>
      <w:r w:rsidRPr="001401FD">
        <w:lastRenderedPageBreak/>
        <w:t>etablering av belysning i nærhet av lufthavn. Høyderestriksjonene som gjelder i forhold til luftfartshindre og høyderestriksjonene på bygg skal være omtalt og hensyntatt i planene. Høyderestriksjonen for bygg i området ligger på fra ca. 220 meter til ca. 300 meter over havet.</w:t>
      </w:r>
    </w:p>
    <w:p w14:paraId="0A41E3B2" w14:textId="77777777" w:rsidR="003F436B" w:rsidRPr="001401FD" w:rsidRDefault="003F436B" w:rsidP="00484A79">
      <w:pPr>
        <w:pStyle w:val="Brdtekst"/>
        <w:spacing w:before="59"/>
        <w:ind w:right="139"/>
      </w:pPr>
    </w:p>
    <w:p w14:paraId="1308FA03" w14:textId="1FB52373" w:rsidR="00484A79" w:rsidRPr="001401FD" w:rsidRDefault="00484A79" w:rsidP="00484A79">
      <w:pPr>
        <w:pStyle w:val="Brdtekst"/>
      </w:pPr>
      <w:r w:rsidRPr="001401FD">
        <w:t>Lyssetting</w:t>
      </w:r>
      <w:r w:rsidRPr="001401FD">
        <w:rPr>
          <w:spacing w:val="-10"/>
        </w:rPr>
        <w:t xml:space="preserve"> </w:t>
      </w:r>
      <w:r w:rsidRPr="001401FD">
        <w:t>av</w:t>
      </w:r>
      <w:r w:rsidRPr="001401FD">
        <w:rPr>
          <w:spacing w:val="-10"/>
        </w:rPr>
        <w:t xml:space="preserve"> </w:t>
      </w:r>
      <w:r w:rsidRPr="001401FD">
        <w:t>området</w:t>
      </w:r>
      <w:r w:rsidRPr="001401FD">
        <w:rPr>
          <w:spacing w:val="-7"/>
        </w:rPr>
        <w:t xml:space="preserve"> </w:t>
      </w:r>
      <w:r w:rsidRPr="001401FD">
        <w:t>må</w:t>
      </w:r>
      <w:r w:rsidRPr="001401FD">
        <w:rPr>
          <w:spacing w:val="-7"/>
        </w:rPr>
        <w:t xml:space="preserve"> </w:t>
      </w:r>
      <w:r w:rsidRPr="001401FD">
        <w:t>ta</w:t>
      </w:r>
      <w:r w:rsidRPr="001401FD">
        <w:rPr>
          <w:spacing w:val="-11"/>
        </w:rPr>
        <w:t xml:space="preserve"> </w:t>
      </w:r>
      <w:r w:rsidRPr="001401FD">
        <w:t>hensyn</w:t>
      </w:r>
      <w:r w:rsidRPr="001401FD">
        <w:rPr>
          <w:spacing w:val="-9"/>
        </w:rPr>
        <w:t xml:space="preserve"> </w:t>
      </w:r>
      <w:r w:rsidRPr="001401FD">
        <w:t>til</w:t>
      </w:r>
      <w:r w:rsidRPr="001401FD">
        <w:rPr>
          <w:spacing w:val="-9"/>
        </w:rPr>
        <w:t xml:space="preserve"> </w:t>
      </w:r>
      <w:r w:rsidRPr="001401FD">
        <w:t>de</w:t>
      </w:r>
      <w:r w:rsidRPr="001401FD">
        <w:rPr>
          <w:spacing w:val="-9"/>
        </w:rPr>
        <w:t xml:space="preserve"> </w:t>
      </w:r>
      <w:r w:rsidRPr="001401FD">
        <w:t>krav</w:t>
      </w:r>
      <w:r w:rsidRPr="001401FD">
        <w:rPr>
          <w:spacing w:val="-10"/>
        </w:rPr>
        <w:t xml:space="preserve"> </w:t>
      </w:r>
      <w:r w:rsidRPr="001401FD">
        <w:t>som</w:t>
      </w:r>
      <w:r w:rsidRPr="001401FD">
        <w:rPr>
          <w:spacing w:val="-6"/>
        </w:rPr>
        <w:t xml:space="preserve"> </w:t>
      </w:r>
      <w:r w:rsidRPr="001401FD">
        <w:t>settes</w:t>
      </w:r>
      <w:r w:rsidRPr="001401FD">
        <w:rPr>
          <w:spacing w:val="-9"/>
        </w:rPr>
        <w:t xml:space="preserve"> </w:t>
      </w:r>
      <w:r w:rsidRPr="001401FD">
        <w:t>i</w:t>
      </w:r>
      <w:r w:rsidRPr="001401FD">
        <w:rPr>
          <w:spacing w:val="-9"/>
        </w:rPr>
        <w:t xml:space="preserve"> </w:t>
      </w:r>
      <w:r w:rsidRPr="001401FD">
        <w:t>forhold</w:t>
      </w:r>
      <w:r w:rsidRPr="001401FD">
        <w:rPr>
          <w:spacing w:val="-9"/>
        </w:rPr>
        <w:t xml:space="preserve"> </w:t>
      </w:r>
      <w:r w:rsidRPr="001401FD">
        <w:t>til</w:t>
      </w:r>
      <w:r w:rsidRPr="001401FD">
        <w:rPr>
          <w:spacing w:val="-11"/>
        </w:rPr>
        <w:t xml:space="preserve"> </w:t>
      </w:r>
      <w:r w:rsidRPr="001401FD">
        <w:t>flyplassen</w:t>
      </w:r>
      <w:r w:rsidRPr="001401FD">
        <w:rPr>
          <w:spacing w:val="-9"/>
        </w:rPr>
        <w:t xml:space="preserve"> </w:t>
      </w:r>
      <w:r w:rsidRPr="001401FD">
        <w:t>og</w:t>
      </w:r>
      <w:r w:rsidRPr="001401FD">
        <w:rPr>
          <w:spacing w:val="-9"/>
        </w:rPr>
        <w:t xml:space="preserve"> </w:t>
      </w:r>
      <w:r w:rsidRPr="001401FD">
        <w:t>følge forskriften om utforming av store flyplasser (BSL E 3-2) § 13-3 Farlige og villedende</w:t>
      </w:r>
      <w:r w:rsidRPr="001401FD">
        <w:rPr>
          <w:spacing w:val="-38"/>
        </w:rPr>
        <w:t xml:space="preserve"> </w:t>
      </w:r>
      <w:r w:rsidRPr="001401FD">
        <w:t>lys.</w:t>
      </w:r>
    </w:p>
    <w:p w14:paraId="031DB2EC" w14:textId="77777777" w:rsidR="003F436B" w:rsidRPr="001401FD" w:rsidRDefault="003F436B" w:rsidP="00484A79">
      <w:pPr>
        <w:pStyle w:val="Brdtekst"/>
      </w:pPr>
    </w:p>
    <w:p w14:paraId="5A6C13D7" w14:textId="77777777" w:rsidR="00484A79" w:rsidRPr="001401FD" w:rsidRDefault="00484A79" w:rsidP="00484A79">
      <w:pPr>
        <w:pStyle w:val="Brdtekst"/>
      </w:pPr>
      <w:r w:rsidRPr="001401FD">
        <w:t>Lyssetting innen planområdet skal så langt råd rettes ned og bort fra farvannet for å unngå redusert sikt til navigasjonsinstallasjoner for sjøverts trafikk.</w:t>
      </w:r>
    </w:p>
    <w:p w14:paraId="7F41F545" w14:textId="77777777" w:rsidR="00484A79" w:rsidRPr="001401FD" w:rsidRDefault="00484A79" w:rsidP="00484A79">
      <w:pPr>
        <w:pStyle w:val="Brdtekst"/>
        <w:spacing w:before="8"/>
        <w:rPr>
          <w:sz w:val="19"/>
        </w:rPr>
      </w:pPr>
    </w:p>
    <w:p w14:paraId="206B53ED" w14:textId="77777777" w:rsidR="00484A79" w:rsidRPr="001401FD" w:rsidRDefault="00484A79" w:rsidP="00484A79">
      <w:pPr>
        <w:pStyle w:val="Overskrift2"/>
        <w:ind w:left="0" w:firstLine="0"/>
      </w:pPr>
      <w:r w:rsidRPr="001401FD">
        <w:t>2.3 Luftfartshindre</w:t>
      </w:r>
    </w:p>
    <w:p w14:paraId="507F6850" w14:textId="77777777" w:rsidR="00484A79" w:rsidRPr="001401FD" w:rsidRDefault="00484A79" w:rsidP="00484A79">
      <w:pPr>
        <w:pStyle w:val="Brdtekst"/>
        <w:tabs>
          <w:tab w:val="left" w:pos="0"/>
        </w:tabs>
        <w:spacing w:before="60"/>
      </w:pPr>
      <w:r w:rsidRPr="001401FD">
        <w:t>Luftfartshindre, dvs. enhver bygning, konstruksjon eller anlegg med en høyde over bakken eller vannet på 15 meter eller mer, rapporteres til Statens kartverk.</w:t>
      </w:r>
    </w:p>
    <w:p w14:paraId="42D1AE43" w14:textId="77777777" w:rsidR="00484A79" w:rsidRPr="001401FD" w:rsidRDefault="00484A79" w:rsidP="00484A79">
      <w:pPr>
        <w:pStyle w:val="Overskrift2"/>
        <w:ind w:left="0" w:firstLine="0"/>
        <w:rPr>
          <w:b w:val="0"/>
          <w:bCs w:val="0"/>
          <w:sz w:val="19"/>
        </w:rPr>
      </w:pPr>
    </w:p>
    <w:p w14:paraId="01171B15" w14:textId="77777777" w:rsidR="00484A79" w:rsidRPr="001401FD" w:rsidRDefault="00484A79" w:rsidP="00484A79">
      <w:pPr>
        <w:pStyle w:val="Overskrift2"/>
        <w:ind w:left="0" w:firstLine="0"/>
      </w:pPr>
      <w:r w:rsidRPr="001401FD">
        <w:t>2.4 Hindringer i sjø</w:t>
      </w:r>
    </w:p>
    <w:p w14:paraId="6E76A6D4" w14:textId="77777777" w:rsidR="00484A79" w:rsidRPr="001401FD" w:rsidRDefault="00484A79" w:rsidP="00484A79">
      <w:pPr>
        <w:pStyle w:val="Brdtekst"/>
        <w:spacing w:before="60"/>
      </w:pPr>
      <w:r w:rsidRPr="001401FD">
        <w:t xml:space="preserve">Kabler/ledninger/rør på land og i sjø skal planlegges slik at de ikke sjøføres ut fra planlagte kaier, eller nært </w:t>
      </w:r>
      <w:proofErr w:type="spellStart"/>
      <w:r w:rsidRPr="001401FD">
        <w:t>tilsides</w:t>
      </w:r>
      <w:proofErr w:type="spellEnd"/>
      <w:r w:rsidRPr="001401FD">
        <w:t xml:space="preserve"> med kaier, til hinder for bruk av anker ved anløp kai.</w:t>
      </w:r>
    </w:p>
    <w:p w14:paraId="58EB07AE" w14:textId="77777777" w:rsidR="00484A79" w:rsidRPr="001401FD" w:rsidRDefault="00484A79" w:rsidP="00484A79">
      <w:pPr>
        <w:pStyle w:val="Brdtekst"/>
        <w:tabs>
          <w:tab w:val="left" w:pos="142"/>
        </w:tabs>
        <w:spacing w:before="10"/>
        <w:ind w:left="142" w:hanging="142"/>
        <w:rPr>
          <w:sz w:val="19"/>
        </w:rPr>
      </w:pPr>
    </w:p>
    <w:p w14:paraId="4B927C8C" w14:textId="77777777" w:rsidR="00484A79" w:rsidRPr="001401FD" w:rsidRDefault="00484A79" w:rsidP="00484A79">
      <w:pPr>
        <w:pStyle w:val="Overskrift2"/>
        <w:ind w:left="0" w:firstLine="0"/>
      </w:pPr>
      <w:r w:rsidRPr="001401FD">
        <w:t>2.5 Utfylling i</w:t>
      </w:r>
      <w:r w:rsidRPr="001401FD">
        <w:rPr>
          <w:spacing w:val="-3"/>
        </w:rPr>
        <w:t xml:space="preserve"> </w:t>
      </w:r>
      <w:r w:rsidRPr="001401FD">
        <w:t>sjø</w:t>
      </w:r>
    </w:p>
    <w:p w14:paraId="4DC0D4A2" w14:textId="77777777" w:rsidR="00484A79" w:rsidRPr="001401FD" w:rsidRDefault="00484A79" w:rsidP="00484A79">
      <w:pPr>
        <w:pStyle w:val="Brdtekst"/>
        <w:tabs>
          <w:tab w:val="left" w:pos="0"/>
        </w:tabs>
        <w:spacing w:before="60"/>
      </w:pPr>
      <w:r w:rsidRPr="001401FD">
        <w:t>All utfylling og deponi skal planlegges i samarbeid med relevante miljømyndigheter og godkjennes av Nærøysund kommune før tiltak kan igangsettes.</w:t>
      </w:r>
    </w:p>
    <w:p w14:paraId="79AA3984" w14:textId="77777777" w:rsidR="00484A79" w:rsidRPr="001401FD" w:rsidRDefault="00484A79" w:rsidP="00484A79">
      <w:pPr>
        <w:pStyle w:val="Brdtekst"/>
        <w:tabs>
          <w:tab w:val="left" w:pos="142"/>
        </w:tabs>
        <w:spacing w:before="8"/>
        <w:ind w:left="142" w:hanging="142"/>
        <w:rPr>
          <w:sz w:val="19"/>
        </w:rPr>
      </w:pPr>
    </w:p>
    <w:p w14:paraId="126D8806" w14:textId="77777777" w:rsidR="00484A79" w:rsidRPr="001401FD" w:rsidRDefault="00484A79" w:rsidP="00484A79">
      <w:pPr>
        <w:pStyle w:val="Overskrift2"/>
        <w:ind w:left="0" w:firstLine="0"/>
      </w:pPr>
      <w:r w:rsidRPr="001401FD">
        <w:t>2.6 Støy</w:t>
      </w:r>
    </w:p>
    <w:p w14:paraId="0F080674" w14:textId="77777777" w:rsidR="00484A79" w:rsidRPr="001401FD" w:rsidRDefault="00484A79" w:rsidP="00484A79">
      <w:pPr>
        <w:pStyle w:val="Brdtekst"/>
        <w:tabs>
          <w:tab w:val="left" w:pos="142"/>
        </w:tabs>
        <w:spacing w:before="60"/>
        <w:ind w:left="142" w:hanging="142"/>
      </w:pPr>
      <w:r w:rsidRPr="001401FD">
        <w:t>Ved anleggsarbeider skal krav til støy nedfelt i forurensningsforskriften § 30-7 over- holdes.</w:t>
      </w:r>
    </w:p>
    <w:p w14:paraId="41EC536D" w14:textId="77777777" w:rsidR="00484A79" w:rsidRPr="001401FD" w:rsidRDefault="00484A79" w:rsidP="00484A79">
      <w:pPr>
        <w:pStyle w:val="Brdtekst"/>
        <w:tabs>
          <w:tab w:val="left" w:pos="142"/>
        </w:tabs>
        <w:spacing w:line="293" w:lineRule="exact"/>
        <w:ind w:left="142" w:hanging="142"/>
      </w:pPr>
      <w:r w:rsidRPr="001401FD">
        <w:t xml:space="preserve">Området skal tilfredsstille støykrav i </w:t>
      </w:r>
      <w:r w:rsidR="009B39A3" w:rsidRPr="001401FD">
        <w:t>«</w:t>
      </w:r>
      <w:r w:rsidRPr="001401FD">
        <w:t>Retningslinjer for støy i arealplanlegging T-1442</w:t>
      </w:r>
      <w:r w:rsidR="009B39A3" w:rsidRPr="001401FD">
        <w:t>»</w:t>
      </w:r>
      <w:r w:rsidRPr="001401FD">
        <w:t>.</w:t>
      </w:r>
    </w:p>
    <w:p w14:paraId="22495AC9" w14:textId="77777777" w:rsidR="00484A79" w:rsidRPr="001401FD" w:rsidRDefault="00484A79" w:rsidP="00484A79">
      <w:pPr>
        <w:pStyle w:val="Brdtekst"/>
        <w:spacing w:before="8" w:after="1"/>
      </w:pPr>
    </w:p>
    <w:tbl>
      <w:tblPr>
        <w:tblStyle w:val="Rutenettabelllys"/>
        <w:tblW w:w="9213" w:type="dxa"/>
        <w:tblLayout w:type="fixed"/>
        <w:tblLook w:val="01E0" w:firstRow="1" w:lastRow="1" w:firstColumn="1" w:lastColumn="1" w:noHBand="0" w:noVBand="0"/>
      </w:tblPr>
      <w:tblGrid>
        <w:gridCol w:w="1538"/>
        <w:gridCol w:w="1537"/>
        <w:gridCol w:w="1536"/>
        <w:gridCol w:w="1534"/>
        <w:gridCol w:w="1536"/>
        <w:gridCol w:w="1532"/>
      </w:tblGrid>
      <w:tr w:rsidR="001401FD" w:rsidRPr="001401FD" w14:paraId="7BCED980" w14:textId="77777777" w:rsidTr="00B86559">
        <w:trPr>
          <w:trHeight w:val="501"/>
        </w:trPr>
        <w:tc>
          <w:tcPr>
            <w:tcW w:w="1538" w:type="dxa"/>
          </w:tcPr>
          <w:p w14:paraId="732C90DB" w14:textId="77777777" w:rsidR="00484A79" w:rsidRPr="001401FD" w:rsidRDefault="00484A79" w:rsidP="007666EE">
            <w:pPr>
              <w:pStyle w:val="TableParagraph"/>
              <w:spacing w:line="240" w:lineRule="auto"/>
              <w:ind w:left="81" w:right="67"/>
              <w:jc w:val="left"/>
              <w:rPr>
                <w:b/>
                <w:i/>
                <w:sz w:val="20"/>
              </w:rPr>
            </w:pPr>
            <w:r w:rsidRPr="001401FD">
              <w:rPr>
                <w:b/>
                <w:i/>
                <w:sz w:val="20"/>
              </w:rPr>
              <w:t>Mandag-fredag</w:t>
            </w:r>
          </w:p>
        </w:tc>
        <w:tc>
          <w:tcPr>
            <w:tcW w:w="1537" w:type="dxa"/>
          </w:tcPr>
          <w:p w14:paraId="0FBE1879" w14:textId="77777777" w:rsidR="00484A79" w:rsidRPr="001401FD" w:rsidRDefault="00484A79" w:rsidP="007666EE">
            <w:pPr>
              <w:pStyle w:val="TableParagraph"/>
              <w:spacing w:line="240" w:lineRule="atLeast"/>
              <w:ind w:left="475" w:right="96" w:hanging="351"/>
              <w:jc w:val="both"/>
              <w:rPr>
                <w:b/>
                <w:i/>
                <w:sz w:val="20"/>
              </w:rPr>
            </w:pPr>
            <w:r w:rsidRPr="001401FD">
              <w:rPr>
                <w:b/>
                <w:i/>
                <w:sz w:val="20"/>
              </w:rPr>
              <w:t>Kveld</w:t>
            </w:r>
            <w:r w:rsidR="007666EE" w:rsidRPr="001401FD">
              <w:rPr>
                <w:b/>
                <w:i/>
                <w:sz w:val="20"/>
              </w:rPr>
              <w:t xml:space="preserve"> </w:t>
            </w:r>
            <w:r w:rsidRPr="001401FD">
              <w:rPr>
                <w:b/>
                <w:i/>
                <w:sz w:val="20"/>
              </w:rPr>
              <w:t>mandag- fredag</w:t>
            </w:r>
          </w:p>
        </w:tc>
        <w:tc>
          <w:tcPr>
            <w:tcW w:w="1536" w:type="dxa"/>
          </w:tcPr>
          <w:p w14:paraId="0ABD97A0" w14:textId="77777777" w:rsidR="00484A79" w:rsidRPr="001401FD" w:rsidRDefault="00484A79" w:rsidP="007666EE">
            <w:pPr>
              <w:pStyle w:val="TableParagraph"/>
              <w:spacing w:line="240" w:lineRule="auto"/>
              <w:ind w:right="93"/>
              <w:jc w:val="left"/>
              <w:rPr>
                <w:b/>
                <w:i/>
                <w:sz w:val="20"/>
              </w:rPr>
            </w:pPr>
            <w:r w:rsidRPr="001401FD">
              <w:rPr>
                <w:b/>
                <w:i/>
                <w:sz w:val="20"/>
              </w:rPr>
              <w:t>Lørdag</w:t>
            </w:r>
          </w:p>
        </w:tc>
        <w:tc>
          <w:tcPr>
            <w:tcW w:w="1534" w:type="dxa"/>
          </w:tcPr>
          <w:p w14:paraId="266E9B69" w14:textId="77777777" w:rsidR="00484A79" w:rsidRPr="001401FD" w:rsidRDefault="00484A79" w:rsidP="007666EE">
            <w:pPr>
              <w:pStyle w:val="TableParagraph"/>
              <w:spacing w:line="240" w:lineRule="auto"/>
              <w:ind w:left="30"/>
              <w:jc w:val="left"/>
              <w:rPr>
                <w:b/>
                <w:i/>
                <w:sz w:val="20"/>
              </w:rPr>
            </w:pPr>
            <w:proofErr w:type="spellStart"/>
            <w:r w:rsidRPr="001401FD">
              <w:rPr>
                <w:b/>
                <w:i/>
                <w:sz w:val="20"/>
              </w:rPr>
              <w:t>Søn</w:t>
            </w:r>
            <w:proofErr w:type="spellEnd"/>
            <w:r w:rsidRPr="001401FD">
              <w:rPr>
                <w:b/>
                <w:i/>
                <w:sz w:val="20"/>
              </w:rPr>
              <w:t>-/helligdager</w:t>
            </w:r>
          </w:p>
        </w:tc>
        <w:tc>
          <w:tcPr>
            <w:tcW w:w="1536" w:type="dxa"/>
          </w:tcPr>
          <w:p w14:paraId="7C4CCD27" w14:textId="77777777" w:rsidR="00484A79" w:rsidRPr="001401FD" w:rsidRDefault="00484A79" w:rsidP="007666EE">
            <w:pPr>
              <w:pStyle w:val="TableParagraph"/>
              <w:spacing w:line="240" w:lineRule="auto"/>
              <w:ind w:right="95"/>
              <w:jc w:val="left"/>
              <w:rPr>
                <w:b/>
                <w:i/>
                <w:sz w:val="20"/>
              </w:rPr>
            </w:pPr>
            <w:r w:rsidRPr="001401FD">
              <w:rPr>
                <w:b/>
                <w:i/>
                <w:sz w:val="20"/>
              </w:rPr>
              <w:t>Natt (kl. 23-07)</w:t>
            </w:r>
          </w:p>
        </w:tc>
        <w:tc>
          <w:tcPr>
            <w:tcW w:w="1532" w:type="dxa"/>
          </w:tcPr>
          <w:p w14:paraId="29675259" w14:textId="77777777" w:rsidR="00484A79" w:rsidRPr="001401FD" w:rsidRDefault="00484A79" w:rsidP="007666EE">
            <w:pPr>
              <w:pStyle w:val="TableParagraph"/>
              <w:spacing w:line="240" w:lineRule="auto"/>
              <w:ind w:right="98"/>
              <w:jc w:val="left"/>
              <w:rPr>
                <w:b/>
                <w:i/>
                <w:sz w:val="20"/>
              </w:rPr>
            </w:pPr>
            <w:r w:rsidRPr="001401FD">
              <w:rPr>
                <w:b/>
                <w:i/>
                <w:sz w:val="20"/>
              </w:rPr>
              <w:t>Natt (kl. 23-07)</w:t>
            </w:r>
          </w:p>
        </w:tc>
      </w:tr>
      <w:tr w:rsidR="00484A79" w:rsidRPr="001401FD" w14:paraId="3D384A5B" w14:textId="77777777" w:rsidTr="00B86559">
        <w:trPr>
          <w:trHeight w:val="324"/>
        </w:trPr>
        <w:tc>
          <w:tcPr>
            <w:tcW w:w="1538" w:type="dxa"/>
          </w:tcPr>
          <w:p w14:paraId="497AF40B" w14:textId="77777777" w:rsidR="00484A79" w:rsidRPr="001401FD" w:rsidRDefault="00484A79" w:rsidP="00B86559">
            <w:pPr>
              <w:pStyle w:val="TableParagraph"/>
              <w:spacing w:before="22"/>
              <w:ind w:left="81" w:right="65"/>
              <w:rPr>
                <w:sz w:val="16"/>
              </w:rPr>
            </w:pPr>
            <w:r w:rsidRPr="001401FD">
              <w:rPr>
                <w:position w:val="2"/>
                <w:sz w:val="24"/>
              </w:rPr>
              <w:t>55 L</w:t>
            </w:r>
            <w:r w:rsidRPr="001401FD">
              <w:rPr>
                <w:sz w:val="16"/>
              </w:rPr>
              <w:t>den</w:t>
            </w:r>
          </w:p>
        </w:tc>
        <w:tc>
          <w:tcPr>
            <w:tcW w:w="1537" w:type="dxa"/>
          </w:tcPr>
          <w:p w14:paraId="0CF11D3F" w14:textId="77777777" w:rsidR="00484A79" w:rsidRPr="001401FD" w:rsidRDefault="00484A79" w:rsidP="00B86559">
            <w:pPr>
              <w:pStyle w:val="TableParagraph"/>
              <w:spacing w:before="22"/>
              <w:ind w:left="292" w:right="0"/>
              <w:rPr>
                <w:sz w:val="16"/>
              </w:rPr>
            </w:pPr>
            <w:r w:rsidRPr="001401FD">
              <w:rPr>
                <w:position w:val="2"/>
                <w:sz w:val="24"/>
              </w:rPr>
              <w:t>50 L</w:t>
            </w:r>
            <w:proofErr w:type="spellStart"/>
            <w:r w:rsidRPr="001401FD">
              <w:rPr>
                <w:sz w:val="16"/>
              </w:rPr>
              <w:t>evening</w:t>
            </w:r>
            <w:proofErr w:type="spellEnd"/>
          </w:p>
        </w:tc>
        <w:tc>
          <w:tcPr>
            <w:tcW w:w="1536" w:type="dxa"/>
          </w:tcPr>
          <w:p w14:paraId="18FBA5CC" w14:textId="77777777" w:rsidR="00484A79" w:rsidRPr="001401FD" w:rsidRDefault="00484A79" w:rsidP="00B86559">
            <w:pPr>
              <w:pStyle w:val="TableParagraph"/>
              <w:spacing w:before="22"/>
              <w:ind w:right="95"/>
              <w:rPr>
                <w:sz w:val="16"/>
              </w:rPr>
            </w:pPr>
            <w:r w:rsidRPr="001401FD">
              <w:rPr>
                <w:position w:val="2"/>
                <w:sz w:val="24"/>
              </w:rPr>
              <w:t>50 L</w:t>
            </w:r>
            <w:r w:rsidRPr="001401FD">
              <w:rPr>
                <w:sz w:val="16"/>
              </w:rPr>
              <w:t>den</w:t>
            </w:r>
          </w:p>
        </w:tc>
        <w:tc>
          <w:tcPr>
            <w:tcW w:w="1534" w:type="dxa"/>
          </w:tcPr>
          <w:p w14:paraId="09144786" w14:textId="77777777" w:rsidR="00484A79" w:rsidRPr="001401FD" w:rsidRDefault="00484A79" w:rsidP="00B86559">
            <w:pPr>
              <w:pStyle w:val="TableParagraph"/>
              <w:spacing w:before="22"/>
              <w:ind w:left="29"/>
              <w:rPr>
                <w:sz w:val="16"/>
              </w:rPr>
            </w:pPr>
            <w:r w:rsidRPr="001401FD">
              <w:rPr>
                <w:position w:val="2"/>
                <w:sz w:val="24"/>
              </w:rPr>
              <w:t>45 L</w:t>
            </w:r>
            <w:r w:rsidRPr="001401FD">
              <w:rPr>
                <w:sz w:val="16"/>
              </w:rPr>
              <w:t>den</w:t>
            </w:r>
          </w:p>
        </w:tc>
        <w:tc>
          <w:tcPr>
            <w:tcW w:w="1536" w:type="dxa"/>
          </w:tcPr>
          <w:p w14:paraId="6A088CEF" w14:textId="77777777" w:rsidR="00484A79" w:rsidRPr="001401FD" w:rsidRDefault="00484A79" w:rsidP="00B86559">
            <w:pPr>
              <w:pStyle w:val="TableParagraph"/>
              <w:spacing w:before="22"/>
              <w:ind w:right="94"/>
              <w:rPr>
                <w:sz w:val="16"/>
              </w:rPr>
            </w:pPr>
            <w:r w:rsidRPr="001401FD">
              <w:rPr>
                <w:position w:val="2"/>
                <w:sz w:val="24"/>
              </w:rPr>
              <w:t>45 L</w:t>
            </w:r>
            <w:proofErr w:type="spellStart"/>
            <w:r w:rsidRPr="001401FD">
              <w:rPr>
                <w:sz w:val="16"/>
              </w:rPr>
              <w:t>night</w:t>
            </w:r>
            <w:proofErr w:type="spellEnd"/>
          </w:p>
        </w:tc>
        <w:tc>
          <w:tcPr>
            <w:tcW w:w="1532" w:type="dxa"/>
          </w:tcPr>
          <w:p w14:paraId="6513A1EF" w14:textId="77777777" w:rsidR="00484A79" w:rsidRPr="001401FD" w:rsidRDefault="00484A79" w:rsidP="00B86559">
            <w:pPr>
              <w:pStyle w:val="TableParagraph"/>
              <w:spacing w:before="22"/>
              <w:ind w:right="97"/>
              <w:rPr>
                <w:sz w:val="16"/>
              </w:rPr>
            </w:pPr>
            <w:r w:rsidRPr="001401FD">
              <w:rPr>
                <w:position w:val="2"/>
                <w:sz w:val="24"/>
              </w:rPr>
              <w:t>60 L</w:t>
            </w:r>
            <w:proofErr w:type="spellStart"/>
            <w:r w:rsidRPr="001401FD">
              <w:rPr>
                <w:sz w:val="16"/>
              </w:rPr>
              <w:t>AFmax</w:t>
            </w:r>
            <w:proofErr w:type="spellEnd"/>
          </w:p>
        </w:tc>
      </w:tr>
    </w:tbl>
    <w:p w14:paraId="33895A8E" w14:textId="77777777" w:rsidR="00484A79" w:rsidRPr="001401FD" w:rsidRDefault="00484A79" w:rsidP="00484A79"/>
    <w:p w14:paraId="3763B6BA" w14:textId="77777777" w:rsidR="00484A79" w:rsidRPr="001401FD" w:rsidRDefault="00484A79" w:rsidP="00484A79">
      <w:pPr>
        <w:pStyle w:val="Overskrift2"/>
        <w:ind w:left="709"/>
      </w:pPr>
      <w:r w:rsidRPr="001401FD">
        <w:t>2.7 Støv</w:t>
      </w:r>
    </w:p>
    <w:p w14:paraId="0765DFCE" w14:textId="77777777" w:rsidR="00484A79" w:rsidRPr="001401FD" w:rsidRDefault="00484A79" w:rsidP="00484A79">
      <w:pPr>
        <w:pStyle w:val="Brdtekst"/>
      </w:pPr>
      <w:r w:rsidRPr="001401FD">
        <w:t>Utslipp av støv i anleggsperioden skal ikke overskride grenseverdiene fastsatt i forurensingsforskriften § 30-5.</w:t>
      </w:r>
    </w:p>
    <w:p w14:paraId="6A479A54" w14:textId="77777777" w:rsidR="009B39A3" w:rsidRPr="001401FD" w:rsidRDefault="009B39A3" w:rsidP="009B39A3"/>
    <w:p w14:paraId="57F88712" w14:textId="77777777" w:rsidR="00484A79" w:rsidRPr="001401FD" w:rsidRDefault="00484A79" w:rsidP="00484A79">
      <w:pPr>
        <w:pStyle w:val="Overskrift2"/>
      </w:pPr>
      <w:r w:rsidRPr="001401FD">
        <w:t>2.8 Kulturminner</w:t>
      </w:r>
    </w:p>
    <w:p w14:paraId="74628F5C" w14:textId="44B4D272" w:rsidR="00484A79" w:rsidRPr="001401FD" w:rsidRDefault="00484A79" w:rsidP="00484A79">
      <w:pPr>
        <w:pStyle w:val="Brdtekst"/>
      </w:pPr>
      <w:r w:rsidRPr="001401FD">
        <w:t>Dersom det i forbindelse med tiltak blir funnet kulturminner som ikke er kjent, skal arbeidet straks stanses i den grad det berører kulturminnene eller de</w:t>
      </w:r>
      <w:r w:rsidR="003F436B" w:rsidRPr="001401FD">
        <w:t>res sikringssone på 5 meter, jf.</w:t>
      </w:r>
      <w:r w:rsidRPr="001401FD">
        <w:t xml:space="preserve"> lov om kulturminner § 8. Melding skal snarest sendes til kulturminnemyndig- hetene i Nord–Trøndelag fylkeskommune for vurdering.</w:t>
      </w:r>
    </w:p>
    <w:p w14:paraId="0422A3C1" w14:textId="77777777" w:rsidR="00484A79" w:rsidRPr="001401FD" w:rsidRDefault="00484A79" w:rsidP="00484A79"/>
    <w:p w14:paraId="3FF0C2CF" w14:textId="494DE419" w:rsidR="00484A79" w:rsidRPr="001401FD" w:rsidRDefault="001401FD" w:rsidP="00484A79">
      <w:pPr>
        <w:pStyle w:val="Overskrift1"/>
      </w:pPr>
      <w:r>
        <w:t>3</w:t>
      </w:r>
      <w:r w:rsidR="00484A79" w:rsidRPr="001401FD">
        <w:t>. Bestemmelser til arealformål</w:t>
      </w:r>
    </w:p>
    <w:p w14:paraId="126E52AC" w14:textId="365AECE0" w:rsidR="00484A79" w:rsidRPr="001401FD" w:rsidRDefault="001401FD" w:rsidP="00484A79">
      <w:pPr>
        <w:pStyle w:val="Overskrift2"/>
      </w:pPr>
      <w:r>
        <w:t>3</w:t>
      </w:r>
      <w:r w:rsidR="00484A79" w:rsidRPr="001401FD">
        <w:t>.1 Generelt</w:t>
      </w:r>
    </w:p>
    <w:p w14:paraId="2D66514C" w14:textId="77777777" w:rsidR="00484A79" w:rsidRPr="001401FD" w:rsidRDefault="00484A79" w:rsidP="00484A79">
      <w:pPr>
        <w:pStyle w:val="Brdtekst"/>
      </w:pPr>
      <w:r w:rsidRPr="001401FD">
        <w:t>Før søknad om byggetillatelse eller byggemelding kan behandles, skal det foreligge godkjent detaljreguleringsplan iht. Plan- og bygningslovens § 12-3.</w:t>
      </w:r>
    </w:p>
    <w:p w14:paraId="4949AF05" w14:textId="77777777" w:rsidR="00484A79" w:rsidRPr="001401FD" w:rsidRDefault="00484A79" w:rsidP="00484A79">
      <w:pPr>
        <w:pStyle w:val="Brdtekst"/>
      </w:pPr>
      <w:r w:rsidRPr="001401FD">
        <w:lastRenderedPageBreak/>
        <w:t>Nødvendige murer og/eller fyllinger skal vises i planene.</w:t>
      </w:r>
    </w:p>
    <w:p w14:paraId="2ACC2790" w14:textId="77777777" w:rsidR="00484A79" w:rsidRPr="001401FD" w:rsidRDefault="00484A79" w:rsidP="00484A79">
      <w:pPr>
        <w:pStyle w:val="Brdtekst"/>
      </w:pPr>
    </w:p>
    <w:p w14:paraId="7516837F" w14:textId="77777777" w:rsidR="00484A79" w:rsidRPr="001401FD" w:rsidRDefault="00484A79" w:rsidP="00484A79">
      <w:pPr>
        <w:pStyle w:val="Brdtekst"/>
        <w:rPr>
          <w:b/>
        </w:rPr>
      </w:pPr>
      <w:r w:rsidRPr="001401FD">
        <w:rPr>
          <w:b/>
        </w:rPr>
        <w:t>Overvann</w:t>
      </w:r>
    </w:p>
    <w:p w14:paraId="7BBF8436" w14:textId="77777777" w:rsidR="00484A79" w:rsidRPr="001401FD" w:rsidRDefault="00484A79" w:rsidP="00484A79">
      <w:pPr>
        <w:pStyle w:val="Brdtekst"/>
      </w:pPr>
      <w:r w:rsidRPr="001401FD">
        <w:t>Ved søknad om tillatelse til igangsetting skal lokalt og åpen overvannshåndtering legges til grunn ved detaljutformingen.</w:t>
      </w:r>
    </w:p>
    <w:p w14:paraId="7D400D2A" w14:textId="77777777" w:rsidR="00484A79" w:rsidRPr="001401FD" w:rsidRDefault="00484A79" w:rsidP="00484A79">
      <w:pPr>
        <w:pStyle w:val="Brdtekst"/>
      </w:pPr>
      <w:r w:rsidRPr="001401FD">
        <w:t>Fortrinnsvis gjennom infiltrasjon og fordrøyning i grunnen og åpne vannveier.</w:t>
      </w:r>
    </w:p>
    <w:p w14:paraId="1D4606B6" w14:textId="77777777" w:rsidR="00484A79" w:rsidRPr="001401FD" w:rsidRDefault="00484A79" w:rsidP="00484A79">
      <w:pPr>
        <w:pStyle w:val="Brdtekst"/>
      </w:pPr>
    </w:p>
    <w:p w14:paraId="227C30BC" w14:textId="77777777" w:rsidR="00484A79" w:rsidRPr="001401FD" w:rsidRDefault="00484A79" w:rsidP="00484A79">
      <w:pPr>
        <w:pStyle w:val="Brdtekst"/>
        <w:rPr>
          <w:b/>
        </w:rPr>
      </w:pPr>
      <w:r w:rsidRPr="001401FD">
        <w:rPr>
          <w:b/>
        </w:rPr>
        <w:t>Utomhusplan</w:t>
      </w:r>
    </w:p>
    <w:p w14:paraId="1166741E" w14:textId="77777777" w:rsidR="00484A79" w:rsidRPr="001401FD" w:rsidRDefault="00484A79" w:rsidP="00484A79">
      <w:pPr>
        <w:pStyle w:val="Brdtekst"/>
      </w:pPr>
      <w:r w:rsidRPr="001401FD">
        <w:t xml:space="preserve">Med søknad om tillatelse til tiltak skal det følge detaljert og </w:t>
      </w:r>
      <w:proofErr w:type="spellStart"/>
      <w:r w:rsidRPr="001401FD">
        <w:t>kotesatt</w:t>
      </w:r>
      <w:proofErr w:type="spellEnd"/>
      <w:r w:rsidRPr="001401FD">
        <w:t xml:space="preserve"> utomhusplan, vise adkomst og parkeringsløsning på egen tomt i målestokk 1:500.</w:t>
      </w:r>
    </w:p>
    <w:p w14:paraId="228151E1" w14:textId="77777777" w:rsidR="00484A79" w:rsidRPr="001401FD" w:rsidRDefault="00484A79" w:rsidP="00484A79">
      <w:pPr>
        <w:pStyle w:val="Brdtekst"/>
      </w:pPr>
    </w:p>
    <w:p w14:paraId="562EFA4E" w14:textId="77777777" w:rsidR="00484A79" w:rsidRPr="001401FD" w:rsidRDefault="00484A79" w:rsidP="00484A79">
      <w:pPr>
        <w:pStyle w:val="Brdtekst"/>
      </w:pPr>
      <w:r w:rsidRPr="001401FD">
        <w:rPr>
          <w:b/>
        </w:rPr>
        <w:t>Geoteknisk</w:t>
      </w:r>
      <w:r w:rsidRPr="001401FD">
        <w:t xml:space="preserve"> </w:t>
      </w:r>
      <w:r w:rsidRPr="001401FD">
        <w:rPr>
          <w:b/>
        </w:rPr>
        <w:t>prosjektering</w:t>
      </w:r>
    </w:p>
    <w:p w14:paraId="63456CCF" w14:textId="77777777" w:rsidR="00484A79" w:rsidRPr="001401FD" w:rsidRDefault="00484A79" w:rsidP="00484A79">
      <w:pPr>
        <w:pStyle w:val="Brdtekst"/>
      </w:pPr>
      <w:r w:rsidRPr="001401FD">
        <w:t>Geoteknisk prosjektering og dokumentasjon skal foreligge før tiltak igangsettes. Av prosjekteringsrapport skal det framgå at grunnen har tilstrekkelig bæreevne og at det ikke oppstår skadelige setninger på konstruksjoner.</w:t>
      </w:r>
    </w:p>
    <w:p w14:paraId="796C1F4E" w14:textId="77777777" w:rsidR="00484A79" w:rsidRPr="001401FD" w:rsidRDefault="00484A79" w:rsidP="00484A79">
      <w:pPr>
        <w:pStyle w:val="Brdtekst"/>
      </w:pPr>
      <w:r w:rsidRPr="001401FD">
        <w:t>Prosjekteringa skal vise tilfredsstillende stabilitet for eventuelle nye fyllinger.</w:t>
      </w:r>
    </w:p>
    <w:p w14:paraId="43F9F8EF" w14:textId="77777777" w:rsidR="00484A79" w:rsidRPr="001401FD" w:rsidRDefault="00484A79" w:rsidP="00484A79"/>
    <w:p w14:paraId="67CFBD91" w14:textId="600DD453" w:rsidR="00484A79" w:rsidRPr="001401FD" w:rsidRDefault="001401FD" w:rsidP="009B39A3">
      <w:pPr>
        <w:pStyle w:val="Overskrift2"/>
      </w:pPr>
      <w:r>
        <w:t>3</w:t>
      </w:r>
      <w:r w:rsidR="009B39A3" w:rsidRPr="001401FD">
        <w:t xml:space="preserve">.2 </w:t>
      </w:r>
      <w:r w:rsidR="00484A79" w:rsidRPr="001401FD">
        <w:t>Krav til bygge- og anleggsvirksomheten</w:t>
      </w:r>
    </w:p>
    <w:p w14:paraId="27A84E3A" w14:textId="77777777" w:rsidR="00484A79" w:rsidRPr="001401FD" w:rsidRDefault="00484A79" w:rsidP="009B39A3">
      <w:pPr>
        <w:pStyle w:val="Brdtekst"/>
      </w:pPr>
      <w:r w:rsidRPr="001401FD">
        <w:t>Plan for beskyttelse av naboomgivelsene mot støy og andre ulemper i bygge- og anleggs- fasen skal følge søknad om byggetiltak. Planen skal redegjøre for trafikkavvikling, trafikksikkerhet for gående og syklende, renhold og støvdemping, driftstider og tiltak for å sikre tilfredsstillende lydforhold. Planen skal beskrive eventuelle avbøtende tiltak. Nødvendige beskyttelsestiltak skal være etablert før bygge- og anleggsarbeider kan igangsettes. I anleggsperioden skal støykrav som angitt i T-1442 kapittel 4 oppfylles.</w:t>
      </w:r>
    </w:p>
    <w:p w14:paraId="7ECDC5C8" w14:textId="77777777" w:rsidR="00484A79" w:rsidRPr="001401FD" w:rsidRDefault="00484A79" w:rsidP="00B86559"/>
    <w:p w14:paraId="37298B22" w14:textId="6D36488C" w:rsidR="009B39A3" w:rsidRPr="001401FD" w:rsidRDefault="001401FD" w:rsidP="009B39A3">
      <w:pPr>
        <w:pStyle w:val="Overskrift2"/>
      </w:pPr>
      <w:r>
        <w:t>3</w:t>
      </w:r>
      <w:r w:rsidR="00484A79" w:rsidRPr="001401FD">
        <w:t>.</w:t>
      </w:r>
      <w:r w:rsidR="009B39A3" w:rsidRPr="001401FD">
        <w:t>3</w:t>
      </w:r>
      <w:r w:rsidR="00484A79" w:rsidRPr="001401FD">
        <w:t xml:space="preserve"> </w:t>
      </w:r>
      <w:r w:rsidR="009B39A3" w:rsidRPr="001401FD">
        <w:t>Forretning / kontor / industri</w:t>
      </w:r>
      <w:r w:rsidR="00B86559" w:rsidRPr="001401FD">
        <w:t xml:space="preserve"> (BKB1 – BKB14)</w:t>
      </w:r>
    </w:p>
    <w:p w14:paraId="4FCB6C65" w14:textId="67FA4683" w:rsidR="009B39A3" w:rsidRPr="001401FD" w:rsidRDefault="009B39A3" w:rsidP="009B39A3">
      <w:pPr>
        <w:pStyle w:val="Brdtekst"/>
      </w:pPr>
      <w:r w:rsidRPr="001401FD">
        <w:t>Innenfor område avsatt til dette formålet, tillates etablert bebyggelse for forretnings- virksomhet, kontor, industriproduksjon og lager. Det legges vekt på at virksomheten har behov for sjø- eller havnetilknytning.</w:t>
      </w:r>
    </w:p>
    <w:p w14:paraId="07700D66" w14:textId="77777777" w:rsidR="003F436B" w:rsidRPr="001401FD" w:rsidRDefault="003F436B" w:rsidP="009B39A3">
      <w:pPr>
        <w:pStyle w:val="Brdtekst"/>
      </w:pPr>
    </w:p>
    <w:p w14:paraId="4A0A3EC0" w14:textId="267B1C27" w:rsidR="009B39A3" w:rsidRPr="001401FD" w:rsidRDefault="009B39A3" w:rsidP="009B39A3">
      <w:pPr>
        <w:pStyle w:val="Brdtekst"/>
      </w:pPr>
      <w:r w:rsidRPr="001401FD">
        <w:t>Utnyttingsgraden skulle fastsettes endelig gjennom detaljreguleringsplanene for de ulike sonene. Maksimalt tillatt bebygd areal for området skal minimum %-BYA 20% og maks %-BYA 80%.</w:t>
      </w:r>
    </w:p>
    <w:p w14:paraId="5BF3D47D" w14:textId="77777777" w:rsidR="003F436B" w:rsidRPr="001401FD" w:rsidRDefault="003F436B" w:rsidP="009B39A3">
      <w:pPr>
        <w:pStyle w:val="Brdtekst"/>
      </w:pPr>
    </w:p>
    <w:p w14:paraId="06162059" w14:textId="182C57E4" w:rsidR="009B39A3" w:rsidRPr="001401FD" w:rsidRDefault="009B39A3" w:rsidP="009B39A3">
      <w:pPr>
        <w:pStyle w:val="Brdtekst"/>
      </w:pPr>
      <w:r w:rsidRPr="001401FD">
        <w:t>Bebyggelsen kan ha en maks tillat møne-/gesimshøyde på 15 m, målt fra gjennomsnittlig planert terreng.</w:t>
      </w:r>
    </w:p>
    <w:p w14:paraId="78348477" w14:textId="77777777" w:rsidR="003F436B" w:rsidRPr="001401FD" w:rsidRDefault="003F436B" w:rsidP="009B39A3">
      <w:pPr>
        <w:pStyle w:val="Brdtekst"/>
      </w:pPr>
    </w:p>
    <w:p w14:paraId="19E3AC95" w14:textId="77777777" w:rsidR="009B39A3" w:rsidRPr="001401FD" w:rsidRDefault="009B39A3" w:rsidP="009B39A3">
      <w:pPr>
        <w:pStyle w:val="Brdtekst"/>
      </w:pPr>
      <w:r w:rsidRPr="001401FD">
        <w:t>OK gulv skal minimum legges på kote +3,5 (NN2000).</w:t>
      </w:r>
    </w:p>
    <w:p w14:paraId="4E609716" w14:textId="77777777" w:rsidR="009B39A3" w:rsidRPr="001401FD" w:rsidRDefault="009B39A3" w:rsidP="009B39A3">
      <w:pPr>
        <w:pStyle w:val="Brdtekst"/>
      </w:pPr>
    </w:p>
    <w:p w14:paraId="6A91015A" w14:textId="5D38ECD8" w:rsidR="009B39A3" w:rsidRPr="001401FD" w:rsidRDefault="001401FD" w:rsidP="009B39A3">
      <w:pPr>
        <w:pStyle w:val="Overskrift2"/>
      </w:pPr>
      <w:r>
        <w:t>3</w:t>
      </w:r>
      <w:r w:rsidR="009B39A3" w:rsidRPr="001401FD">
        <w:t>.4 Samferdselsanlegg og teknisk infrastruktur</w:t>
      </w:r>
    </w:p>
    <w:p w14:paraId="57EDDC25" w14:textId="77777777" w:rsidR="009B39A3" w:rsidRPr="001401FD" w:rsidRDefault="009B39A3" w:rsidP="009B39A3"/>
    <w:p w14:paraId="5B235A58" w14:textId="4795B280" w:rsidR="009B39A3" w:rsidRPr="001401FD" w:rsidRDefault="001401FD" w:rsidP="009B39A3">
      <w:pPr>
        <w:pStyle w:val="Overskrift3"/>
        <w:rPr>
          <w:color w:val="auto"/>
        </w:rPr>
      </w:pPr>
      <w:r>
        <w:rPr>
          <w:color w:val="auto"/>
        </w:rPr>
        <w:t>3</w:t>
      </w:r>
      <w:r w:rsidR="009B39A3" w:rsidRPr="001401FD">
        <w:rPr>
          <w:color w:val="auto"/>
        </w:rPr>
        <w:t xml:space="preserve">.4.1 Veg </w:t>
      </w:r>
      <w:r w:rsidR="00B86559" w:rsidRPr="001401FD">
        <w:rPr>
          <w:color w:val="auto"/>
        </w:rPr>
        <w:t>(</w:t>
      </w:r>
      <w:proofErr w:type="spellStart"/>
      <w:r w:rsidR="00B86559" w:rsidRPr="001401FD">
        <w:rPr>
          <w:color w:val="auto"/>
        </w:rPr>
        <w:t>o_SV</w:t>
      </w:r>
      <w:proofErr w:type="spellEnd"/>
      <w:r w:rsidR="00B86559" w:rsidRPr="001401FD">
        <w:rPr>
          <w:color w:val="auto"/>
        </w:rPr>
        <w:t>)</w:t>
      </w:r>
      <w:r w:rsidR="009B39A3" w:rsidRPr="001401FD">
        <w:rPr>
          <w:color w:val="auto"/>
        </w:rPr>
        <w:br/>
      </w:r>
      <w:r w:rsidR="009B39A3" w:rsidRPr="001401FD">
        <w:rPr>
          <w:rStyle w:val="BrdtekstTegn"/>
          <w:b w:val="0"/>
          <w:color w:val="auto"/>
        </w:rPr>
        <w:t>Offentlig veg fra molo og sørover til Kysthavna.</w:t>
      </w:r>
    </w:p>
    <w:p w14:paraId="764DD92D" w14:textId="77777777" w:rsidR="009B39A3" w:rsidRPr="001401FD" w:rsidRDefault="009B39A3" w:rsidP="009B39A3"/>
    <w:p w14:paraId="2391932D" w14:textId="602A8BBE" w:rsidR="009B39A3" w:rsidRPr="001401FD" w:rsidRDefault="001401FD" w:rsidP="009B39A3">
      <w:pPr>
        <w:pStyle w:val="Overskrift3"/>
        <w:rPr>
          <w:color w:val="auto"/>
        </w:rPr>
      </w:pPr>
      <w:r>
        <w:rPr>
          <w:color w:val="auto"/>
        </w:rPr>
        <w:t>3</w:t>
      </w:r>
      <w:r w:rsidR="009B39A3" w:rsidRPr="001401FD">
        <w:rPr>
          <w:color w:val="auto"/>
        </w:rPr>
        <w:t>.4.2 Kjøreveg</w:t>
      </w:r>
      <w:r w:rsidR="00B86559" w:rsidRPr="001401FD">
        <w:rPr>
          <w:color w:val="auto"/>
        </w:rPr>
        <w:t xml:space="preserve"> (f_SKV1 – f_SKV6)</w:t>
      </w:r>
    </w:p>
    <w:p w14:paraId="22C7FAB1" w14:textId="77777777" w:rsidR="009B39A3" w:rsidRPr="001401FD" w:rsidRDefault="009B39A3" w:rsidP="009B39A3">
      <w:r w:rsidRPr="001401FD">
        <w:t>Området er en felles adkomstveg fra offentlig veg og ned til kaiområdet.</w:t>
      </w:r>
      <w:r w:rsidRPr="001401FD">
        <w:br/>
        <w:t>Tomt BKB6 sikres adkomst over fellesområdet f_BKB14</w:t>
      </w:r>
      <w:r w:rsidR="00B86559" w:rsidRPr="001401FD">
        <w:t xml:space="preserve">. </w:t>
      </w:r>
    </w:p>
    <w:p w14:paraId="6CE92DDE" w14:textId="77777777" w:rsidR="009B39A3" w:rsidRPr="001401FD" w:rsidRDefault="009B39A3" w:rsidP="009B39A3"/>
    <w:p w14:paraId="4891881F" w14:textId="11ED1828" w:rsidR="009B39A3" w:rsidRPr="001401FD" w:rsidRDefault="001401FD" w:rsidP="009B39A3">
      <w:pPr>
        <w:pStyle w:val="Overskrift3"/>
        <w:rPr>
          <w:color w:val="auto"/>
        </w:rPr>
      </w:pPr>
      <w:r>
        <w:rPr>
          <w:color w:val="auto"/>
        </w:rPr>
        <w:t>3</w:t>
      </w:r>
      <w:r w:rsidR="009B39A3" w:rsidRPr="001401FD">
        <w:rPr>
          <w:color w:val="auto"/>
        </w:rPr>
        <w:t>.4.3 Annen veggrunn – tekniske anlegg</w:t>
      </w:r>
      <w:r w:rsidR="00B86559" w:rsidRPr="001401FD">
        <w:rPr>
          <w:color w:val="auto"/>
        </w:rPr>
        <w:t xml:space="preserve"> (f_SVT1 – f_SVT11)</w:t>
      </w:r>
    </w:p>
    <w:p w14:paraId="121FEB73" w14:textId="77777777" w:rsidR="009B39A3" w:rsidRPr="001401FD" w:rsidRDefault="009B39A3" w:rsidP="009B39A3">
      <w:r w:rsidRPr="001401FD">
        <w:t>Det er sikret plass til langsetter parkering innenfor formålet annen veggrunn – tekniske anlegg. Det er regulert inn annen veggrunn langs hver side av hver adkomstveg.</w:t>
      </w:r>
    </w:p>
    <w:p w14:paraId="6D985A9D" w14:textId="77777777" w:rsidR="009B39A3" w:rsidRPr="001401FD" w:rsidRDefault="009B39A3" w:rsidP="009B39A3"/>
    <w:p w14:paraId="08D92FF3" w14:textId="02744D5C" w:rsidR="009B39A3" w:rsidRPr="001401FD" w:rsidRDefault="001401FD" w:rsidP="009B39A3">
      <w:pPr>
        <w:pStyle w:val="Overskrift3"/>
        <w:rPr>
          <w:color w:val="auto"/>
        </w:rPr>
      </w:pPr>
      <w:r>
        <w:rPr>
          <w:color w:val="auto"/>
        </w:rPr>
        <w:t>3</w:t>
      </w:r>
      <w:r w:rsidR="009B39A3" w:rsidRPr="001401FD">
        <w:rPr>
          <w:color w:val="auto"/>
        </w:rPr>
        <w:t>.4.4 Gang-/sykkelveg</w:t>
      </w:r>
      <w:r w:rsidR="00B86559" w:rsidRPr="001401FD">
        <w:rPr>
          <w:color w:val="auto"/>
        </w:rPr>
        <w:t xml:space="preserve"> (o_SGS1 – o_SGS7) </w:t>
      </w:r>
    </w:p>
    <w:p w14:paraId="0F113AF2" w14:textId="77777777" w:rsidR="009B39A3" w:rsidRPr="001401FD" w:rsidRDefault="009B39A3" w:rsidP="009B39A3">
      <w:r w:rsidRPr="001401FD">
        <w:t xml:space="preserve">Området skal benyttes som gang-/sykkeladkomst til industri- og havneområdene på øya. Gang-/sykkelvegen er opparbeidet i forbindelse med adkomstvegen på øya. </w:t>
      </w:r>
    </w:p>
    <w:p w14:paraId="230F1C33" w14:textId="77777777" w:rsidR="009B39A3" w:rsidRPr="001401FD" w:rsidRDefault="009B39A3" w:rsidP="009B39A3"/>
    <w:p w14:paraId="15B9928B" w14:textId="397DBD68" w:rsidR="009B39A3" w:rsidRPr="001401FD" w:rsidRDefault="001401FD" w:rsidP="009B39A3">
      <w:pPr>
        <w:pStyle w:val="Overskrift3"/>
        <w:rPr>
          <w:color w:val="auto"/>
        </w:rPr>
      </w:pPr>
      <w:r>
        <w:rPr>
          <w:color w:val="auto"/>
        </w:rPr>
        <w:t>3</w:t>
      </w:r>
      <w:r w:rsidR="009B39A3" w:rsidRPr="001401FD">
        <w:rPr>
          <w:color w:val="auto"/>
        </w:rPr>
        <w:t>.4.5 Annen veggrunn – grøntareal</w:t>
      </w:r>
    </w:p>
    <w:p w14:paraId="0B3792F3" w14:textId="77777777" w:rsidR="009B39A3" w:rsidRPr="001401FD" w:rsidRDefault="009B39A3" w:rsidP="009B39A3">
      <w:r w:rsidRPr="001401FD">
        <w:t>Områdene omfatter arealer mellom kjøreveg og gang-/sykkelveg og arealer for skjæring og fylling langs vegene.</w:t>
      </w:r>
    </w:p>
    <w:p w14:paraId="6E0D2D72" w14:textId="77777777" w:rsidR="009B39A3" w:rsidRPr="001401FD" w:rsidRDefault="009B39A3" w:rsidP="009B39A3"/>
    <w:p w14:paraId="0A955EF6" w14:textId="1ACCBE52" w:rsidR="009B39A3" w:rsidRPr="001401FD" w:rsidRDefault="001401FD" w:rsidP="009B39A3">
      <w:pPr>
        <w:pStyle w:val="Overskrift3"/>
        <w:rPr>
          <w:color w:val="auto"/>
        </w:rPr>
      </w:pPr>
      <w:r>
        <w:rPr>
          <w:color w:val="auto"/>
        </w:rPr>
        <w:t>3</w:t>
      </w:r>
      <w:r w:rsidR="009B39A3" w:rsidRPr="001401FD">
        <w:rPr>
          <w:color w:val="auto"/>
        </w:rPr>
        <w:t>.4.6 Kai</w:t>
      </w:r>
      <w:r w:rsidR="00B86559" w:rsidRPr="001401FD">
        <w:rPr>
          <w:color w:val="auto"/>
        </w:rPr>
        <w:t xml:space="preserve"> (</w:t>
      </w:r>
      <w:proofErr w:type="spellStart"/>
      <w:r w:rsidR="00B86559" w:rsidRPr="001401FD">
        <w:rPr>
          <w:color w:val="auto"/>
        </w:rPr>
        <w:t>f_SK</w:t>
      </w:r>
      <w:proofErr w:type="spellEnd"/>
      <w:r w:rsidR="00B86559" w:rsidRPr="001401FD">
        <w:rPr>
          <w:color w:val="auto"/>
        </w:rPr>
        <w:t>)</w:t>
      </w:r>
    </w:p>
    <w:p w14:paraId="1F68B040" w14:textId="77777777" w:rsidR="009B39A3" w:rsidRPr="001401FD" w:rsidRDefault="009B39A3" w:rsidP="009B39A3">
      <w:r w:rsidRPr="001401FD">
        <w:t xml:space="preserve">I området tillates etablert kai(er) i forbindelse med forretning/kontor/industri på land. </w:t>
      </w:r>
    </w:p>
    <w:p w14:paraId="0E3E5986" w14:textId="77777777" w:rsidR="009B39A3" w:rsidRPr="001401FD" w:rsidRDefault="009B39A3" w:rsidP="009B39A3">
      <w:r w:rsidRPr="001401FD">
        <w:t>Kaier kan bygges etappevis, i forhold til behov og økonomi. Det er opp til den enkelte tiltakshaver hvor lang kai tiltakshaveren ønsker å bygge innenfor sin eiendomsgrense.</w:t>
      </w:r>
    </w:p>
    <w:p w14:paraId="08FD2E18" w14:textId="77777777" w:rsidR="009B39A3" w:rsidRPr="001401FD" w:rsidRDefault="009B39A3" w:rsidP="009B39A3">
      <w:r w:rsidRPr="001401FD">
        <w:t>OK kaifront skal minimum ligge på kote +3,0 (NN2000).</w:t>
      </w:r>
      <w:r w:rsidRPr="001401FD">
        <w:br/>
        <w:t>Dybdene ved kaifrontene kan utdypes til 4-5 meter dybde i forhold til sjøkartnull.</w:t>
      </w:r>
    </w:p>
    <w:p w14:paraId="1D4B385F" w14:textId="427B1A40" w:rsidR="00484A79" w:rsidRPr="001401FD" w:rsidRDefault="00484A79" w:rsidP="00484A79">
      <w:pPr>
        <w:spacing w:after="120" w:line="264" w:lineRule="auto"/>
        <w:rPr>
          <w:rFonts w:eastAsiaTheme="minorEastAsia" w:cs="Times New Roman"/>
          <w:sz w:val="21"/>
          <w:szCs w:val="21"/>
        </w:rPr>
      </w:pPr>
    </w:p>
    <w:p w14:paraId="69BE6548" w14:textId="3CE54145" w:rsidR="00484A79" w:rsidRPr="001401FD" w:rsidRDefault="001401FD" w:rsidP="007666EE">
      <w:pPr>
        <w:pStyle w:val="Overskrift1"/>
      </w:pPr>
      <w:r>
        <w:t>4</w:t>
      </w:r>
      <w:r w:rsidR="00484A79" w:rsidRPr="001401FD">
        <w:t>. Bestemmelser til hensynssoner (§§ 12-6, 12-7 og 11-8)</w:t>
      </w:r>
    </w:p>
    <w:p w14:paraId="48407404" w14:textId="084A08F7" w:rsidR="00484A79" w:rsidRPr="00D604AE" w:rsidRDefault="001401FD" w:rsidP="001401FD">
      <w:pPr>
        <w:pStyle w:val="Overskrift2"/>
      </w:pPr>
      <w:r>
        <w:t>4</w:t>
      </w:r>
      <w:r w:rsidR="00484A79" w:rsidRPr="001401FD">
        <w:t xml:space="preserve">.1 </w:t>
      </w:r>
      <w:r w:rsidR="007666EE" w:rsidRPr="001401FD">
        <w:t xml:space="preserve">Sikringssone </w:t>
      </w:r>
      <w:r w:rsidR="007666EE">
        <w:t>frisikt (H140)</w:t>
      </w:r>
    </w:p>
    <w:p w14:paraId="6BAF96C4" w14:textId="6428AA7A" w:rsidR="00484A79" w:rsidRDefault="007666EE" w:rsidP="007666EE">
      <w:pPr>
        <w:pStyle w:val="Brdtekst"/>
      </w:pPr>
      <w:r>
        <w:t xml:space="preserve">I frisiktsoner tillates ikke plassert gjenstander, beplantning eller andre sikthindringer som er høyere enn 0,5 meter over tilstøtende veger. Parkering er ikke tillatt i frisiktsonen. </w:t>
      </w:r>
    </w:p>
    <w:p w14:paraId="0720E417" w14:textId="77777777" w:rsidR="00E21615" w:rsidRDefault="00E21615" w:rsidP="007666EE">
      <w:pPr>
        <w:pStyle w:val="Brdtekst"/>
      </w:pPr>
    </w:p>
    <w:p w14:paraId="4A37CAD3" w14:textId="5AD5DBE0" w:rsidR="007666EE" w:rsidRDefault="001401FD" w:rsidP="007666EE">
      <w:pPr>
        <w:pStyle w:val="Overskrift2"/>
      </w:pPr>
      <w:r>
        <w:t>4</w:t>
      </w:r>
      <w:r w:rsidR="007666EE">
        <w:t xml:space="preserve">.2 </w:t>
      </w:r>
      <w:r w:rsidR="007666EE" w:rsidRPr="007666EE">
        <w:t>Hensynssone</w:t>
      </w:r>
      <w:r w:rsidR="007666EE">
        <w:t xml:space="preserve"> høyspentanlegg (inkl</w:t>
      </w:r>
      <w:r w:rsidR="00E21615">
        <w:t>.</w:t>
      </w:r>
      <w:r w:rsidR="007666EE">
        <w:t xml:space="preserve"> høyspentkabler) (H370)</w:t>
      </w:r>
    </w:p>
    <w:p w14:paraId="264633D5" w14:textId="377D26F2" w:rsidR="00E21615" w:rsidRPr="0075493F" w:rsidRDefault="00E21615" w:rsidP="00E21615">
      <w:pPr>
        <w:rPr>
          <w:sz w:val="24"/>
        </w:rPr>
      </w:pPr>
      <w:r w:rsidRPr="0075493F">
        <w:rPr>
          <w:sz w:val="24"/>
        </w:rPr>
        <w:t>Områdene som vist på plankartet skal sikre areal for anlegg av trafostasjon og strømforsyning i området. Alle kabler skal legges i jordgrøft i eller langs adkomstvegene eller i felles grøft med vann og avløp.</w:t>
      </w:r>
    </w:p>
    <w:p w14:paraId="574BEF80" w14:textId="77777777" w:rsidR="001401FD" w:rsidRPr="001401FD" w:rsidRDefault="001401FD" w:rsidP="00E21615">
      <w:pPr>
        <w:rPr>
          <w:sz w:val="24"/>
        </w:rPr>
      </w:pPr>
    </w:p>
    <w:p w14:paraId="27F45E60" w14:textId="3DD8FEC1" w:rsidR="001401FD" w:rsidRPr="0075493F" w:rsidRDefault="001401FD" w:rsidP="001401FD">
      <w:pPr>
        <w:pStyle w:val="Overskrift1"/>
      </w:pPr>
      <w:r w:rsidRPr="0075493F">
        <w:t>5</w:t>
      </w:r>
      <w:r w:rsidR="00484A79" w:rsidRPr="0075493F">
        <w:t xml:space="preserve">. Rekkefølgebestemmelser </w:t>
      </w:r>
    </w:p>
    <w:p w14:paraId="0035D1E5" w14:textId="7C09B8B9" w:rsidR="00484A79" w:rsidRPr="0075493F" w:rsidRDefault="001401FD" w:rsidP="001401FD">
      <w:pPr>
        <w:pStyle w:val="Overskrift2"/>
      </w:pPr>
      <w:r w:rsidRPr="0075493F">
        <w:t xml:space="preserve">5.1 </w:t>
      </w:r>
      <w:r w:rsidR="00484A79" w:rsidRPr="0075493F">
        <w:t>Før igangsettingstillatelse (</w:t>
      </w:r>
      <w:r w:rsidRPr="0075493F">
        <w:t>BKB1 – BKB14</w:t>
      </w:r>
      <w:r w:rsidR="00484A79" w:rsidRPr="0075493F">
        <w:t>)</w:t>
      </w:r>
    </w:p>
    <w:p w14:paraId="5393F5DE" w14:textId="754435E9" w:rsidR="001401FD" w:rsidRPr="0075493F" w:rsidRDefault="001401FD" w:rsidP="001401FD">
      <w:pPr>
        <w:rPr>
          <w:rFonts w:asciiTheme="majorHAnsi" w:hAnsiTheme="majorHAnsi" w:cstheme="majorHAnsi"/>
          <w:sz w:val="24"/>
          <w:szCs w:val="24"/>
        </w:rPr>
      </w:pPr>
      <w:r w:rsidRPr="0075493F">
        <w:rPr>
          <w:rFonts w:asciiTheme="majorHAnsi" w:hAnsiTheme="majorHAnsi" w:cstheme="majorHAnsi"/>
          <w:sz w:val="24"/>
          <w:szCs w:val="24"/>
        </w:rPr>
        <w:t>Utbygging kan ikke skje før tilstrekkelig og godkjent vann- og avløpsløsning er etablert.</w:t>
      </w:r>
    </w:p>
    <w:p w14:paraId="774CB714" w14:textId="77777777" w:rsidR="001401FD" w:rsidRPr="0075493F" w:rsidRDefault="001401FD" w:rsidP="001401FD">
      <w:pPr>
        <w:rPr>
          <w:rFonts w:asciiTheme="majorHAnsi" w:hAnsiTheme="majorHAnsi" w:cstheme="majorHAnsi"/>
          <w:sz w:val="24"/>
          <w:szCs w:val="24"/>
        </w:rPr>
      </w:pPr>
    </w:p>
    <w:p w14:paraId="2CFBBD3B" w14:textId="77777777" w:rsidR="001401FD" w:rsidRPr="0075493F" w:rsidRDefault="00982EEA" w:rsidP="001401FD">
      <w:pPr>
        <w:rPr>
          <w:rFonts w:asciiTheme="majorHAnsi" w:hAnsiTheme="majorHAnsi" w:cstheme="majorHAnsi"/>
          <w:bCs/>
          <w:sz w:val="24"/>
          <w:szCs w:val="24"/>
        </w:rPr>
      </w:pPr>
      <w:r w:rsidRPr="0075493F">
        <w:rPr>
          <w:rFonts w:asciiTheme="majorHAnsi" w:hAnsiTheme="majorHAnsi" w:cstheme="majorHAnsi"/>
          <w:bCs/>
          <w:sz w:val="24"/>
          <w:szCs w:val="24"/>
        </w:rPr>
        <w:t>Ved søknad om tillatelse til igangsetting skal løsning for</w:t>
      </w:r>
      <w:r w:rsidR="001401FD" w:rsidRPr="0075493F">
        <w:rPr>
          <w:rFonts w:asciiTheme="majorHAnsi" w:hAnsiTheme="majorHAnsi" w:cstheme="majorHAnsi"/>
          <w:bCs/>
          <w:sz w:val="24"/>
          <w:szCs w:val="24"/>
        </w:rPr>
        <w:t xml:space="preserve"> lokal og åpen</w:t>
      </w:r>
      <w:r w:rsidRPr="0075493F">
        <w:rPr>
          <w:rFonts w:asciiTheme="majorHAnsi" w:hAnsiTheme="majorHAnsi" w:cstheme="majorHAnsi"/>
          <w:bCs/>
          <w:sz w:val="24"/>
          <w:szCs w:val="24"/>
        </w:rPr>
        <w:t xml:space="preserve"> overvannshåndtering </w:t>
      </w:r>
      <w:r w:rsidR="001401FD" w:rsidRPr="0075493F">
        <w:rPr>
          <w:rFonts w:asciiTheme="majorHAnsi" w:hAnsiTheme="majorHAnsi" w:cstheme="majorHAnsi"/>
          <w:bCs/>
          <w:sz w:val="24"/>
          <w:szCs w:val="24"/>
        </w:rPr>
        <w:t>vises</w:t>
      </w:r>
      <w:r w:rsidRPr="0075493F">
        <w:rPr>
          <w:rFonts w:asciiTheme="majorHAnsi" w:hAnsiTheme="majorHAnsi" w:cstheme="majorHAnsi"/>
          <w:bCs/>
          <w:sz w:val="24"/>
          <w:szCs w:val="24"/>
        </w:rPr>
        <w:t xml:space="preserve"> ved detaljutformi</w:t>
      </w:r>
      <w:r w:rsidR="001401FD" w:rsidRPr="0075493F">
        <w:rPr>
          <w:rFonts w:asciiTheme="majorHAnsi" w:hAnsiTheme="majorHAnsi" w:cstheme="majorHAnsi"/>
          <w:bCs/>
          <w:sz w:val="24"/>
          <w:szCs w:val="24"/>
        </w:rPr>
        <w:t xml:space="preserve">ngen. </w:t>
      </w:r>
    </w:p>
    <w:p w14:paraId="5A189978" w14:textId="77777777" w:rsidR="001401FD" w:rsidRPr="0075493F" w:rsidRDefault="001401FD" w:rsidP="001401FD">
      <w:pPr>
        <w:rPr>
          <w:rFonts w:asciiTheme="majorHAnsi" w:hAnsiTheme="majorHAnsi" w:cstheme="majorHAnsi"/>
          <w:bCs/>
          <w:sz w:val="24"/>
          <w:szCs w:val="24"/>
        </w:rPr>
      </w:pPr>
    </w:p>
    <w:p w14:paraId="0E5555AD" w14:textId="2E2D6DA4" w:rsidR="00484A79" w:rsidRPr="0075493F" w:rsidRDefault="00982EEA">
      <w:pPr>
        <w:rPr>
          <w:rFonts w:asciiTheme="majorHAnsi" w:hAnsiTheme="majorHAnsi" w:cstheme="majorHAnsi"/>
          <w:sz w:val="24"/>
          <w:szCs w:val="24"/>
        </w:rPr>
      </w:pPr>
      <w:r w:rsidRPr="0075493F">
        <w:rPr>
          <w:rFonts w:asciiTheme="majorHAnsi" w:hAnsiTheme="majorHAnsi" w:cstheme="majorHAnsi"/>
          <w:sz w:val="24"/>
          <w:szCs w:val="24"/>
        </w:rPr>
        <w:t>Der det er behov for oljeutskillere</w:t>
      </w:r>
      <w:r w:rsidR="001401FD" w:rsidRPr="0075493F">
        <w:rPr>
          <w:rFonts w:asciiTheme="majorHAnsi" w:hAnsiTheme="majorHAnsi" w:cstheme="majorHAnsi"/>
          <w:sz w:val="24"/>
          <w:szCs w:val="24"/>
        </w:rPr>
        <w:t xml:space="preserve"> skal dette</w:t>
      </w:r>
      <w:r w:rsidRPr="0075493F">
        <w:rPr>
          <w:rFonts w:asciiTheme="majorHAnsi" w:hAnsiTheme="majorHAnsi" w:cstheme="majorHAnsi"/>
          <w:sz w:val="24"/>
          <w:szCs w:val="24"/>
        </w:rPr>
        <w:t xml:space="preserve"> etableres lokalt.</w:t>
      </w:r>
    </w:p>
    <w:sectPr w:rsidR="00484A79" w:rsidRPr="0075493F" w:rsidSect="00484A79">
      <w:footerReference w:type="default" r:id="rId12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D86D6" w14:textId="77777777" w:rsidR="00484A79" w:rsidRDefault="00484A79" w:rsidP="00484A79">
      <w:r>
        <w:separator/>
      </w:r>
    </w:p>
  </w:endnote>
  <w:endnote w:type="continuationSeparator" w:id="0">
    <w:p w14:paraId="26945B73" w14:textId="77777777" w:rsidR="00484A79" w:rsidRDefault="00484A79" w:rsidP="0048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416B" w14:textId="77777777" w:rsidR="00484A79" w:rsidRDefault="00484A79" w:rsidP="00484A79">
    <w:pPr>
      <w:pStyle w:val="Bunntekst"/>
      <w:jc w:val="center"/>
    </w:pPr>
    <w:r w:rsidRPr="00484A79">
      <w:rPr>
        <w:sz w:val="20"/>
      </w:rPr>
      <w:t>Detaljreguleringsplan for Kråkøya, del av sone 7</w:t>
    </w:r>
  </w:p>
  <w:p w14:paraId="6AD65706" w14:textId="77777777" w:rsidR="009B353E" w:rsidRPr="009B353E" w:rsidRDefault="003643B3">
    <w:pPr>
      <w:pStyle w:val="Brd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AFC3F" w14:textId="77777777" w:rsidR="00484A79" w:rsidRDefault="00484A79" w:rsidP="00484A79">
      <w:r>
        <w:separator/>
      </w:r>
    </w:p>
  </w:footnote>
  <w:footnote w:type="continuationSeparator" w:id="0">
    <w:p w14:paraId="476DD08D" w14:textId="77777777" w:rsidR="00484A79" w:rsidRDefault="00484A79" w:rsidP="0048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859"/>
    <w:multiLevelType w:val="hybridMultilevel"/>
    <w:tmpl w:val="9B0A6520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23132C0"/>
    <w:multiLevelType w:val="hybridMultilevel"/>
    <w:tmpl w:val="62A00D86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1F8"/>
    <w:multiLevelType w:val="hybridMultilevel"/>
    <w:tmpl w:val="ECD2B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E79"/>
    <w:multiLevelType w:val="hybridMultilevel"/>
    <w:tmpl w:val="5E5A33EA"/>
    <w:lvl w:ilvl="0" w:tplc="3E8025B6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6F6EFA"/>
    <w:multiLevelType w:val="hybridMultilevel"/>
    <w:tmpl w:val="87B47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2CB9"/>
    <w:multiLevelType w:val="hybridMultilevel"/>
    <w:tmpl w:val="6F325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4E88"/>
    <w:multiLevelType w:val="multilevel"/>
    <w:tmpl w:val="DCAC6BAE"/>
    <w:lvl w:ilvl="0">
      <w:start w:val="3"/>
      <w:numFmt w:val="decimal"/>
      <w:lvlText w:val="%1"/>
      <w:lvlJc w:val="left"/>
      <w:pPr>
        <w:ind w:left="86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453" w:hanging="721"/>
      </w:pPr>
      <w:rPr>
        <w:rFonts w:hint="default"/>
      </w:rPr>
    </w:lvl>
    <w:lvl w:ilvl="4">
      <w:numFmt w:val="bullet"/>
      <w:lvlText w:val="•"/>
      <w:lvlJc w:val="left"/>
      <w:pPr>
        <w:ind w:left="4318" w:hanging="721"/>
      </w:pPr>
      <w:rPr>
        <w:rFonts w:hint="default"/>
      </w:rPr>
    </w:lvl>
    <w:lvl w:ilvl="5">
      <w:numFmt w:val="bullet"/>
      <w:lvlText w:val="•"/>
      <w:lvlJc w:val="left"/>
      <w:pPr>
        <w:ind w:left="5183" w:hanging="721"/>
      </w:pPr>
      <w:rPr>
        <w:rFonts w:hint="default"/>
      </w:rPr>
    </w:lvl>
    <w:lvl w:ilvl="6">
      <w:numFmt w:val="bullet"/>
      <w:lvlText w:val="•"/>
      <w:lvlJc w:val="left"/>
      <w:pPr>
        <w:ind w:left="6047" w:hanging="721"/>
      </w:pPr>
      <w:rPr>
        <w:rFonts w:hint="default"/>
      </w:rPr>
    </w:lvl>
    <w:lvl w:ilvl="7">
      <w:numFmt w:val="bullet"/>
      <w:lvlText w:val="•"/>
      <w:lvlJc w:val="left"/>
      <w:pPr>
        <w:ind w:left="6912" w:hanging="721"/>
      </w:pPr>
      <w:rPr>
        <w:rFonts w:hint="default"/>
      </w:rPr>
    </w:lvl>
    <w:lvl w:ilvl="8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7" w15:restartNumberingAfterBreak="0">
    <w:nsid w:val="247716B8"/>
    <w:multiLevelType w:val="hybridMultilevel"/>
    <w:tmpl w:val="5AD87C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B5E37"/>
    <w:multiLevelType w:val="hybridMultilevel"/>
    <w:tmpl w:val="93965F8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788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B33E16"/>
    <w:multiLevelType w:val="hybridMultilevel"/>
    <w:tmpl w:val="0B3652E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4310"/>
    <w:multiLevelType w:val="hybridMultilevel"/>
    <w:tmpl w:val="EBE6892C"/>
    <w:lvl w:ilvl="0" w:tplc="3E8025B6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067DFC"/>
    <w:multiLevelType w:val="hybridMultilevel"/>
    <w:tmpl w:val="89BC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283F"/>
    <w:multiLevelType w:val="hybridMultilevel"/>
    <w:tmpl w:val="0B5C4A2C"/>
    <w:lvl w:ilvl="0" w:tplc="0414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77BD3"/>
    <w:multiLevelType w:val="multilevel"/>
    <w:tmpl w:val="4BFC8DBE"/>
    <w:lvl w:ilvl="0">
      <w:start w:val="1"/>
      <w:numFmt w:val="decimal"/>
      <w:lvlText w:val="%1"/>
      <w:lvlJc w:val="left"/>
      <w:pPr>
        <w:ind w:left="575" w:hanging="433"/>
      </w:pPr>
      <w:rPr>
        <w:rFonts w:ascii="Calibri" w:eastAsia="Calibri" w:hAnsi="Calibri" w:cs="Calibri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716" w:hanging="57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2">
      <w:numFmt w:val="bullet"/>
      <w:lvlText w:val="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3">
      <w:numFmt w:val="bullet"/>
      <w:lvlText w:val="•"/>
      <w:lvlJc w:val="left"/>
      <w:pPr>
        <w:ind w:left="1940" w:hanging="360"/>
      </w:pPr>
      <w:rPr>
        <w:rFonts w:hint="default"/>
      </w:rPr>
    </w:lvl>
    <w:lvl w:ilvl="4">
      <w:numFmt w:val="bullet"/>
      <w:lvlText w:val="•"/>
      <w:lvlJc w:val="left"/>
      <w:pPr>
        <w:ind w:left="3021" w:hanging="360"/>
      </w:pPr>
      <w:rPr>
        <w:rFonts w:hint="default"/>
      </w:rPr>
    </w:lvl>
    <w:lvl w:ilvl="5">
      <w:numFmt w:val="bullet"/>
      <w:lvlText w:val="•"/>
      <w:lvlJc w:val="left"/>
      <w:pPr>
        <w:ind w:left="4102" w:hanging="360"/>
      </w:pPr>
      <w:rPr>
        <w:rFonts w:hint="default"/>
      </w:rPr>
    </w:lvl>
    <w:lvl w:ilvl="6">
      <w:numFmt w:val="bullet"/>
      <w:lvlText w:val="•"/>
      <w:lvlJc w:val="left"/>
      <w:pPr>
        <w:ind w:left="5183" w:hanging="360"/>
      </w:pPr>
      <w:rPr>
        <w:rFonts w:hint="default"/>
      </w:rPr>
    </w:lvl>
    <w:lvl w:ilvl="7">
      <w:numFmt w:val="bullet"/>
      <w:lvlText w:val="•"/>
      <w:lvlJc w:val="left"/>
      <w:pPr>
        <w:ind w:left="6264" w:hanging="360"/>
      </w:pPr>
      <w:rPr>
        <w:rFonts w:hint="default"/>
      </w:rPr>
    </w:lvl>
    <w:lvl w:ilvl="8">
      <w:numFmt w:val="bullet"/>
      <w:lvlText w:val="•"/>
      <w:lvlJc w:val="left"/>
      <w:pPr>
        <w:ind w:left="7344" w:hanging="360"/>
      </w:pPr>
      <w:rPr>
        <w:rFonts w:hint="default"/>
      </w:rPr>
    </w:lvl>
  </w:abstractNum>
  <w:abstractNum w:abstractNumId="14" w15:restartNumberingAfterBreak="0">
    <w:nsid w:val="503A19A7"/>
    <w:multiLevelType w:val="hybridMultilevel"/>
    <w:tmpl w:val="C12C35F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615163"/>
    <w:multiLevelType w:val="hybridMultilevel"/>
    <w:tmpl w:val="1A2C9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06533"/>
    <w:multiLevelType w:val="multilevel"/>
    <w:tmpl w:val="25CE9DAA"/>
    <w:lvl w:ilvl="0">
      <w:start w:val="4"/>
      <w:numFmt w:val="decimal"/>
      <w:lvlText w:val="%1"/>
      <w:lvlJc w:val="left"/>
      <w:pPr>
        <w:ind w:left="86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453" w:hanging="721"/>
      </w:pPr>
      <w:rPr>
        <w:rFonts w:hint="default"/>
      </w:rPr>
    </w:lvl>
    <w:lvl w:ilvl="4">
      <w:numFmt w:val="bullet"/>
      <w:lvlText w:val="•"/>
      <w:lvlJc w:val="left"/>
      <w:pPr>
        <w:ind w:left="4318" w:hanging="721"/>
      </w:pPr>
      <w:rPr>
        <w:rFonts w:hint="default"/>
      </w:rPr>
    </w:lvl>
    <w:lvl w:ilvl="5">
      <w:numFmt w:val="bullet"/>
      <w:lvlText w:val="•"/>
      <w:lvlJc w:val="left"/>
      <w:pPr>
        <w:ind w:left="5183" w:hanging="721"/>
      </w:pPr>
      <w:rPr>
        <w:rFonts w:hint="default"/>
      </w:rPr>
    </w:lvl>
    <w:lvl w:ilvl="6">
      <w:numFmt w:val="bullet"/>
      <w:lvlText w:val="•"/>
      <w:lvlJc w:val="left"/>
      <w:pPr>
        <w:ind w:left="6047" w:hanging="721"/>
      </w:pPr>
      <w:rPr>
        <w:rFonts w:hint="default"/>
      </w:rPr>
    </w:lvl>
    <w:lvl w:ilvl="7">
      <w:numFmt w:val="bullet"/>
      <w:lvlText w:val="•"/>
      <w:lvlJc w:val="left"/>
      <w:pPr>
        <w:ind w:left="6912" w:hanging="721"/>
      </w:pPr>
      <w:rPr>
        <w:rFonts w:hint="default"/>
      </w:rPr>
    </w:lvl>
    <w:lvl w:ilvl="8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17" w15:restartNumberingAfterBreak="0">
    <w:nsid w:val="6E7679C5"/>
    <w:multiLevelType w:val="hybridMultilevel"/>
    <w:tmpl w:val="B71AD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95D3D"/>
    <w:multiLevelType w:val="hybridMultilevel"/>
    <w:tmpl w:val="D28CC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82686"/>
    <w:multiLevelType w:val="multilevel"/>
    <w:tmpl w:val="0CF2E912"/>
    <w:lvl w:ilvl="0">
      <w:start w:val="4"/>
      <w:numFmt w:val="decimal"/>
      <w:lvlText w:val="%1"/>
      <w:lvlJc w:val="left"/>
      <w:pPr>
        <w:ind w:left="860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2028" w:hanging="721"/>
      </w:pPr>
      <w:rPr>
        <w:rFonts w:hint="default"/>
      </w:rPr>
    </w:lvl>
    <w:lvl w:ilvl="4">
      <w:numFmt w:val="bullet"/>
      <w:lvlText w:val="•"/>
      <w:lvlJc w:val="left"/>
      <w:pPr>
        <w:ind w:left="3096" w:hanging="721"/>
      </w:pPr>
      <w:rPr>
        <w:rFonts w:hint="default"/>
      </w:rPr>
    </w:lvl>
    <w:lvl w:ilvl="5">
      <w:numFmt w:val="bullet"/>
      <w:lvlText w:val="•"/>
      <w:lvlJc w:val="left"/>
      <w:pPr>
        <w:ind w:left="4164" w:hanging="721"/>
      </w:pPr>
      <w:rPr>
        <w:rFonts w:hint="default"/>
      </w:rPr>
    </w:lvl>
    <w:lvl w:ilvl="6">
      <w:numFmt w:val="bullet"/>
      <w:lvlText w:val="•"/>
      <w:lvlJc w:val="left"/>
      <w:pPr>
        <w:ind w:left="5233" w:hanging="721"/>
      </w:pPr>
      <w:rPr>
        <w:rFonts w:hint="default"/>
      </w:rPr>
    </w:lvl>
    <w:lvl w:ilvl="7">
      <w:numFmt w:val="bullet"/>
      <w:lvlText w:val="•"/>
      <w:lvlJc w:val="left"/>
      <w:pPr>
        <w:ind w:left="6301" w:hanging="721"/>
      </w:pPr>
      <w:rPr>
        <w:rFonts w:hint="default"/>
      </w:rPr>
    </w:lvl>
    <w:lvl w:ilvl="8">
      <w:numFmt w:val="bullet"/>
      <w:lvlText w:val="•"/>
      <w:lvlJc w:val="left"/>
      <w:pPr>
        <w:ind w:left="7369" w:hanging="721"/>
      </w:pPr>
      <w:rPr>
        <w:rFonts w:hint="default"/>
      </w:rPr>
    </w:lvl>
  </w:abstractNum>
  <w:abstractNum w:abstractNumId="20" w15:restartNumberingAfterBreak="0">
    <w:nsid w:val="7B780EE2"/>
    <w:multiLevelType w:val="multilevel"/>
    <w:tmpl w:val="DCAC6BAE"/>
    <w:lvl w:ilvl="0">
      <w:start w:val="3"/>
      <w:numFmt w:val="decimal"/>
      <w:lvlText w:val="%1"/>
      <w:lvlJc w:val="left"/>
      <w:pPr>
        <w:ind w:left="86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453" w:hanging="721"/>
      </w:pPr>
      <w:rPr>
        <w:rFonts w:hint="default"/>
      </w:rPr>
    </w:lvl>
    <w:lvl w:ilvl="4">
      <w:numFmt w:val="bullet"/>
      <w:lvlText w:val="•"/>
      <w:lvlJc w:val="left"/>
      <w:pPr>
        <w:ind w:left="4318" w:hanging="721"/>
      </w:pPr>
      <w:rPr>
        <w:rFonts w:hint="default"/>
      </w:rPr>
    </w:lvl>
    <w:lvl w:ilvl="5">
      <w:numFmt w:val="bullet"/>
      <w:lvlText w:val="•"/>
      <w:lvlJc w:val="left"/>
      <w:pPr>
        <w:ind w:left="5183" w:hanging="721"/>
      </w:pPr>
      <w:rPr>
        <w:rFonts w:hint="default"/>
      </w:rPr>
    </w:lvl>
    <w:lvl w:ilvl="6">
      <w:numFmt w:val="bullet"/>
      <w:lvlText w:val="•"/>
      <w:lvlJc w:val="left"/>
      <w:pPr>
        <w:ind w:left="6047" w:hanging="721"/>
      </w:pPr>
      <w:rPr>
        <w:rFonts w:hint="default"/>
      </w:rPr>
    </w:lvl>
    <w:lvl w:ilvl="7">
      <w:numFmt w:val="bullet"/>
      <w:lvlText w:val="•"/>
      <w:lvlJc w:val="left"/>
      <w:pPr>
        <w:ind w:left="6912" w:hanging="721"/>
      </w:pPr>
      <w:rPr>
        <w:rFonts w:hint="default"/>
      </w:rPr>
    </w:lvl>
    <w:lvl w:ilvl="8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21" w15:restartNumberingAfterBreak="0">
    <w:nsid w:val="7D950E3B"/>
    <w:multiLevelType w:val="hybridMultilevel"/>
    <w:tmpl w:val="8F7C1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25B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13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21"/>
  </w:num>
  <w:num w:numId="10">
    <w:abstractNumId w:val="8"/>
  </w:num>
  <w:num w:numId="11">
    <w:abstractNumId w:val="2"/>
  </w:num>
  <w:num w:numId="12">
    <w:abstractNumId w:val="18"/>
  </w:num>
  <w:num w:numId="13">
    <w:abstractNumId w:val="17"/>
  </w:num>
  <w:num w:numId="14">
    <w:abstractNumId w:val="15"/>
  </w:num>
  <w:num w:numId="15">
    <w:abstractNumId w:val="0"/>
  </w:num>
  <w:num w:numId="16">
    <w:abstractNumId w:val="1"/>
  </w:num>
  <w:num w:numId="17">
    <w:abstractNumId w:val="12"/>
  </w:num>
  <w:num w:numId="18">
    <w:abstractNumId w:val="11"/>
  </w:num>
  <w:num w:numId="19">
    <w:abstractNumId w:val="4"/>
  </w:num>
  <w:num w:numId="20">
    <w:abstractNumId w:val="9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79"/>
    <w:rsid w:val="00084623"/>
    <w:rsid w:val="001401FD"/>
    <w:rsid w:val="003009E7"/>
    <w:rsid w:val="003643B3"/>
    <w:rsid w:val="003F436B"/>
    <w:rsid w:val="00484A79"/>
    <w:rsid w:val="005227A0"/>
    <w:rsid w:val="00645935"/>
    <w:rsid w:val="007307D7"/>
    <w:rsid w:val="0075493F"/>
    <w:rsid w:val="007666EE"/>
    <w:rsid w:val="00982EEA"/>
    <w:rsid w:val="009B39A3"/>
    <w:rsid w:val="00A05698"/>
    <w:rsid w:val="00A67318"/>
    <w:rsid w:val="00B4560B"/>
    <w:rsid w:val="00B86559"/>
    <w:rsid w:val="00BA799E"/>
    <w:rsid w:val="00BE5D7E"/>
    <w:rsid w:val="00E21615"/>
    <w:rsid w:val="00EB7F38"/>
    <w:rsid w:val="00FB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543D"/>
  <w15:chartTrackingRefBased/>
  <w15:docId w15:val="{AC912157-5DDB-4B36-ACD5-41E17B94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84A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Overskrift1">
    <w:name w:val="heading 1"/>
    <w:basedOn w:val="Normal"/>
    <w:link w:val="Overskrift1Tegn"/>
    <w:uiPriority w:val="1"/>
    <w:qFormat/>
    <w:rsid w:val="00484A79"/>
    <w:pPr>
      <w:spacing w:before="15"/>
      <w:ind w:left="433" w:hanging="433"/>
      <w:jc w:val="both"/>
      <w:outlineLvl w:val="0"/>
    </w:pPr>
    <w:rPr>
      <w:b/>
      <w:bCs/>
      <w:sz w:val="32"/>
      <w:szCs w:val="32"/>
    </w:rPr>
  </w:style>
  <w:style w:type="paragraph" w:styleId="Overskrift2">
    <w:name w:val="heading 2"/>
    <w:basedOn w:val="Normal"/>
    <w:link w:val="Overskrift2Tegn"/>
    <w:uiPriority w:val="1"/>
    <w:qFormat/>
    <w:rsid w:val="009B39A3"/>
    <w:pPr>
      <w:ind w:left="721" w:hanging="721"/>
      <w:outlineLvl w:val="1"/>
    </w:pPr>
    <w:rPr>
      <w:b/>
      <w:bCs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39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484A79"/>
    <w:rPr>
      <w:rFonts w:ascii="Calibri" w:eastAsia="Calibri" w:hAnsi="Calibri" w:cs="Calibri"/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9B39A3"/>
    <w:rPr>
      <w:rFonts w:ascii="Calibri" w:eastAsia="Calibri" w:hAnsi="Calibri" w:cs="Calibri"/>
      <w:b/>
      <w:bCs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484A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484A79"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484A79"/>
    <w:rPr>
      <w:rFonts w:ascii="Calibri" w:eastAsia="Calibri" w:hAnsi="Calibri" w:cs="Calibri"/>
      <w:sz w:val="24"/>
      <w:szCs w:val="24"/>
    </w:rPr>
  </w:style>
  <w:style w:type="paragraph" w:styleId="Listeavsnitt">
    <w:name w:val="List Paragraph"/>
    <w:basedOn w:val="Normal"/>
    <w:uiPriority w:val="1"/>
    <w:qFormat/>
    <w:rsid w:val="00484A79"/>
    <w:pPr>
      <w:ind w:left="860" w:hanging="721"/>
      <w:jc w:val="both"/>
    </w:pPr>
  </w:style>
  <w:style w:type="paragraph" w:customStyle="1" w:styleId="TableParagraph">
    <w:name w:val="Table Paragraph"/>
    <w:basedOn w:val="Normal"/>
    <w:uiPriority w:val="1"/>
    <w:qFormat/>
    <w:rsid w:val="00484A79"/>
    <w:pPr>
      <w:spacing w:before="6" w:line="282" w:lineRule="exact"/>
      <w:ind w:left="100" w:right="21"/>
      <w:jc w:val="center"/>
    </w:pPr>
  </w:style>
  <w:style w:type="paragraph" w:styleId="Topptekst">
    <w:name w:val="header"/>
    <w:basedOn w:val="Normal"/>
    <w:link w:val="TopptekstTegn"/>
    <w:uiPriority w:val="99"/>
    <w:unhideWhenUsed/>
    <w:rsid w:val="00484A7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4A79"/>
    <w:rPr>
      <w:rFonts w:ascii="Calibri" w:eastAsia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484A7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84A79"/>
    <w:rPr>
      <w:rFonts w:ascii="Calibri" w:eastAsia="Calibri" w:hAnsi="Calibri" w:cs="Calibri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39A3"/>
    <w:rPr>
      <w:rFonts w:asciiTheme="majorHAnsi" w:eastAsiaTheme="majorEastAsia" w:hAnsiTheme="majorHAnsi" w:cstheme="majorBidi"/>
      <w:b/>
      <w:color w:val="1F3763" w:themeColor="accent1" w:themeShade="7F"/>
      <w:sz w:val="28"/>
      <w:szCs w:val="24"/>
    </w:rPr>
  </w:style>
  <w:style w:type="table" w:styleId="Rutenettabelllys">
    <w:name w:val="Grid Table Light"/>
    <w:basedOn w:val="Vanligtabell"/>
    <w:uiPriority w:val="40"/>
    <w:rsid w:val="00B865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9A03CBE8EB54EB87DF315943C0116" ma:contentTypeVersion="8" ma:contentTypeDescription="Opprett et nytt dokument." ma:contentTypeScope="" ma:versionID="0ef0bd68860c427f3ad55a973142c04e">
  <xsd:schema xmlns:xsd="http://www.w3.org/2001/XMLSchema" xmlns:xs="http://www.w3.org/2001/XMLSchema" xmlns:p="http://schemas.microsoft.com/office/2006/metadata/properties" xmlns:ns3="7437bdc9-9fd8-4aac-9c8b-8eaa6cd5bc3d" targetNamespace="http://schemas.microsoft.com/office/2006/metadata/properties" ma:root="true" ma:fieldsID="369f0ad06f528f3adcc8658df1f41f3b" ns3:_="">
    <xsd:import namespace="7437bdc9-9fd8-4aac-9c8b-8eaa6cd5bc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bdc9-9fd8-4aac-9c8b-8eaa6cd5b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20A8-DB37-44ED-9432-3292E3590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9882C-0B5C-408D-95D4-9577997D369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437bdc9-9fd8-4aac-9c8b-8eaa6cd5bc3d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452C9C-1D13-42B3-BFEB-D55A01B15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7bdc9-9fd8-4aac-9c8b-8eaa6cd5b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A2FE2-BC35-429B-B370-AE2DB4A9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6293</Characters>
  <Application>Microsoft Office Word</Application>
  <DocSecurity>4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Vikna kommune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Elisabeth Blakstad</dc:creator>
  <cp:keywords/>
  <dc:description/>
  <cp:lastModifiedBy>Ruth Elisabeth Blakstad</cp:lastModifiedBy>
  <cp:revision>2</cp:revision>
  <dcterms:created xsi:type="dcterms:W3CDTF">2020-06-30T13:38:00Z</dcterms:created>
  <dcterms:modified xsi:type="dcterms:W3CDTF">2020-06-30T13:38:00Z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0x0101006809A03CBE8EB54EB87DF315943C0116</vt:lpwstr>
  </property>
</Properties>
</file>